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101"/>
        <w:gridCol w:w="8141"/>
      </w:tblGrid>
      <w:tr w:rsidR="00596ECC" w:rsidRPr="00E65CEF" w14:paraId="3F9FD2D8" w14:textId="77777777" w:rsidTr="00596ECC">
        <w:tc>
          <w:tcPr>
            <w:tcW w:w="1101" w:type="dxa"/>
          </w:tcPr>
          <w:p w14:paraId="62527A92" w14:textId="77777777" w:rsidR="00596ECC" w:rsidRPr="00E65CEF" w:rsidRDefault="00596ECC">
            <w:pPr>
              <w:rPr>
                <w:rFonts w:ascii="Arial" w:hAnsi="Arial" w:cs="Arial"/>
              </w:rPr>
            </w:pPr>
            <w:r w:rsidRPr="00E65CEF">
              <w:rPr>
                <w:rFonts w:ascii="Arial" w:hAnsi="Arial" w:cs="Arial"/>
              </w:rPr>
              <w:t>Report:</w:t>
            </w:r>
          </w:p>
        </w:tc>
        <w:tc>
          <w:tcPr>
            <w:tcW w:w="8141" w:type="dxa"/>
          </w:tcPr>
          <w:p w14:paraId="11352A2E" w14:textId="47AF0B4D" w:rsidR="00596ECC" w:rsidRPr="00E65CEF" w:rsidRDefault="00A23904" w:rsidP="006324B0">
            <w:pPr>
              <w:rPr>
                <w:rFonts w:ascii="Arial" w:eastAsia="Times New Roman" w:hAnsi="Arial" w:cs="Arial"/>
                <w:b/>
                <w:lang w:eastAsia="en-GB"/>
              </w:rPr>
            </w:pPr>
            <w:r>
              <w:rPr>
                <w:rFonts w:ascii="Arial" w:eastAsia="Times New Roman" w:hAnsi="Arial" w:cs="Arial"/>
                <w:b/>
                <w:lang w:eastAsia="en-GB"/>
              </w:rPr>
              <w:t>Lewes Road TRO</w:t>
            </w:r>
            <w:r w:rsidR="004A6EC7">
              <w:rPr>
                <w:rFonts w:ascii="Arial" w:eastAsia="Times New Roman" w:hAnsi="Arial" w:cs="Arial"/>
                <w:b/>
                <w:lang w:eastAsia="en-GB"/>
              </w:rPr>
              <w:t xml:space="preserve"> </w:t>
            </w:r>
            <w:r w:rsidR="00327C28">
              <w:rPr>
                <w:rFonts w:ascii="Arial" w:eastAsia="Times New Roman" w:hAnsi="Arial" w:cs="Arial"/>
                <w:b/>
                <w:lang w:eastAsia="en-GB"/>
              </w:rPr>
              <w:t>Proposal</w:t>
            </w:r>
            <w:r w:rsidR="004A6EC7">
              <w:rPr>
                <w:rFonts w:ascii="Arial" w:eastAsia="Times New Roman" w:hAnsi="Arial" w:cs="Arial"/>
                <w:b/>
                <w:lang w:eastAsia="en-GB"/>
              </w:rPr>
              <w:t xml:space="preserve"> - Mr Graham Turner</w:t>
            </w:r>
          </w:p>
        </w:tc>
      </w:tr>
    </w:tbl>
    <w:p w14:paraId="716881C8" w14:textId="77777777" w:rsidR="00596ECC" w:rsidRDefault="00596ECC" w:rsidP="00596ECC">
      <w:pPr>
        <w:rPr>
          <w:rFonts w:ascii="Arial" w:hAnsi="Arial" w:cs="Arial"/>
        </w:rPr>
      </w:pPr>
    </w:p>
    <w:p w14:paraId="5147C347" w14:textId="68081129" w:rsidR="008B4524" w:rsidRDefault="00426BB2" w:rsidP="00154B59">
      <w:pPr>
        <w:jc w:val="both"/>
        <w:rPr>
          <w:rFonts w:ascii="Arial" w:hAnsi="Arial" w:cs="Arial"/>
          <w:b/>
          <w:bCs/>
        </w:rPr>
      </w:pPr>
      <w:r w:rsidRPr="00426BB2">
        <w:rPr>
          <w:rFonts w:ascii="Arial" w:hAnsi="Arial" w:cs="Arial"/>
          <w:b/>
          <w:bCs/>
        </w:rPr>
        <w:t>Summ</w:t>
      </w:r>
      <w:r>
        <w:rPr>
          <w:rFonts w:ascii="Arial" w:hAnsi="Arial" w:cs="Arial"/>
          <w:b/>
          <w:bCs/>
        </w:rPr>
        <w:t>a</w:t>
      </w:r>
      <w:r w:rsidRPr="00426BB2">
        <w:rPr>
          <w:rFonts w:ascii="Arial" w:hAnsi="Arial" w:cs="Arial"/>
          <w:b/>
          <w:bCs/>
        </w:rPr>
        <w:t>ry</w:t>
      </w:r>
    </w:p>
    <w:p w14:paraId="46B26905" w14:textId="386049ED" w:rsidR="00A03996" w:rsidRDefault="00A0070F" w:rsidP="00154B59">
      <w:pPr>
        <w:jc w:val="both"/>
        <w:rPr>
          <w:rFonts w:ascii="Arial" w:hAnsi="Arial" w:cs="Arial"/>
        </w:rPr>
      </w:pPr>
      <w:r w:rsidRPr="00A0070F">
        <w:rPr>
          <w:rFonts w:ascii="Arial" w:hAnsi="Arial" w:cs="Arial"/>
        </w:rPr>
        <w:t>This report</w:t>
      </w:r>
      <w:r>
        <w:rPr>
          <w:rFonts w:ascii="Arial" w:hAnsi="Arial" w:cs="Arial"/>
        </w:rPr>
        <w:t xml:space="preserve"> considers </w:t>
      </w:r>
      <w:r w:rsidR="0051573C">
        <w:rPr>
          <w:rFonts w:ascii="Arial" w:hAnsi="Arial" w:cs="Arial"/>
        </w:rPr>
        <w:t xml:space="preserve">the position is </w:t>
      </w:r>
      <w:r w:rsidR="00A11DAC">
        <w:rPr>
          <w:rFonts w:ascii="Arial" w:hAnsi="Arial" w:cs="Arial"/>
        </w:rPr>
        <w:t>respect</w:t>
      </w:r>
      <w:r w:rsidR="0051573C">
        <w:rPr>
          <w:rFonts w:ascii="Arial" w:hAnsi="Arial" w:cs="Arial"/>
        </w:rPr>
        <w:t xml:space="preserve"> of the </w:t>
      </w:r>
      <w:r w:rsidR="00BC371D">
        <w:rPr>
          <w:rFonts w:ascii="Arial" w:hAnsi="Arial" w:cs="Arial"/>
        </w:rPr>
        <w:t xml:space="preserve">proposed </w:t>
      </w:r>
      <w:r w:rsidR="0051573C">
        <w:rPr>
          <w:rFonts w:ascii="Arial" w:hAnsi="Arial" w:cs="Arial"/>
        </w:rPr>
        <w:t>Lewes Road TRO</w:t>
      </w:r>
      <w:r w:rsidR="00BC371D">
        <w:rPr>
          <w:rFonts w:ascii="Arial" w:hAnsi="Arial" w:cs="Arial"/>
        </w:rPr>
        <w:t>,</w:t>
      </w:r>
      <w:r w:rsidR="0051573C">
        <w:rPr>
          <w:rFonts w:ascii="Arial" w:hAnsi="Arial" w:cs="Arial"/>
        </w:rPr>
        <w:t xml:space="preserve"> championed by Mr Graham Turner</w:t>
      </w:r>
      <w:r w:rsidR="00A11DAC">
        <w:rPr>
          <w:rFonts w:ascii="Arial" w:hAnsi="Arial" w:cs="Arial"/>
        </w:rPr>
        <w:t>.</w:t>
      </w:r>
    </w:p>
    <w:p w14:paraId="3EA4A95B" w14:textId="4E01D90E" w:rsidR="00A11DAC" w:rsidRDefault="00A11DAC" w:rsidP="00154B59">
      <w:pPr>
        <w:jc w:val="both"/>
        <w:rPr>
          <w:rFonts w:ascii="Arial" w:hAnsi="Arial" w:cs="Arial"/>
        </w:rPr>
      </w:pPr>
    </w:p>
    <w:p w14:paraId="37F0D57D" w14:textId="1914CD66" w:rsidR="00A11DAC" w:rsidRDefault="00A11DAC" w:rsidP="00154B59">
      <w:pPr>
        <w:jc w:val="both"/>
        <w:rPr>
          <w:rFonts w:ascii="Arial" w:hAnsi="Arial" w:cs="Arial"/>
        </w:rPr>
      </w:pPr>
      <w:r>
        <w:rPr>
          <w:rFonts w:ascii="Arial" w:hAnsi="Arial" w:cs="Arial"/>
        </w:rPr>
        <w:t xml:space="preserve">P&amp;TC’s agreement is sought to progress </w:t>
      </w:r>
      <w:r w:rsidR="00657A54">
        <w:rPr>
          <w:rFonts w:ascii="Arial" w:hAnsi="Arial" w:cs="Arial"/>
        </w:rPr>
        <w:t>the initial consultation as recommended by WSCC Highways</w:t>
      </w:r>
      <w:r w:rsidR="00D078B6">
        <w:rPr>
          <w:rFonts w:ascii="Arial" w:hAnsi="Arial" w:cs="Arial"/>
        </w:rPr>
        <w:t>, at a cost of £6,500,</w:t>
      </w:r>
      <w:r w:rsidR="00D1639F">
        <w:rPr>
          <w:rFonts w:ascii="Arial" w:hAnsi="Arial" w:cs="Arial"/>
        </w:rPr>
        <w:t xml:space="preserve"> with a view to progressing to a formal application to WSCC’s County Local Committee</w:t>
      </w:r>
      <w:r w:rsidR="00CB2C56">
        <w:rPr>
          <w:rFonts w:ascii="Arial" w:hAnsi="Arial" w:cs="Arial"/>
        </w:rPr>
        <w:t xml:space="preserve"> following completion of the consultation.</w:t>
      </w:r>
    </w:p>
    <w:p w14:paraId="749FFDB0" w14:textId="38D43FC6" w:rsidR="00CB2C56" w:rsidRDefault="00CB2C56" w:rsidP="00154B59">
      <w:pPr>
        <w:jc w:val="both"/>
        <w:rPr>
          <w:rFonts w:ascii="Arial" w:hAnsi="Arial" w:cs="Arial"/>
        </w:rPr>
      </w:pPr>
    </w:p>
    <w:p w14:paraId="419F6C11" w14:textId="3EAB08BF" w:rsidR="00CB2C56" w:rsidRDefault="00D078B6" w:rsidP="00154B59">
      <w:pPr>
        <w:jc w:val="both"/>
        <w:rPr>
          <w:rFonts w:ascii="Arial" w:hAnsi="Arial" w:cs="Arial"/>
        </w:rPr>
      </w:pPr>
      <w:r>
        <w:rPr>
          <w:rFonts w:ascii="Arial" w:hAnsi="Arial" w:cs="Arial"/>
        </w:rPr>
        <w:t xml:space="preserve">There is currently no budget allocated </w:t>
      </w:r>
      <w:r w:rsidR="004241DA">
        <w:rPr>
          <w:rFonts w:ascii="Arial" w:hAnsi="Arial" w:cs="Arial"/>
        </w:rPr>
        <w:t xml:space="preserve">by Lindfield Parish Council </w:t>
      </w:r>
      <w:r w:rsidR="007C363A">
        <w:rPr>
          <w:rFonts w:ascii="Arial" w:hAnsi="Arial" w:cs="Arial"/>
        </w:rPr>
        <w:t xml:space="preserve">for this scheme </w:t>
      </w:r>
      <w:r w:rsidR="00073B77">
        <w:rPr>
          <w:rFonts w:ascii="Arial" w:hAnsi="Arial" w:cs="Arial"/>
        </w:rPr>
        <w:t>which has</w:t>
      </w:r>
      <w:r w:rsidR="007C363A">
        <w:rPr>
          <w:rFonts w:ascii="Arial" w:hAnsi="Arial" w:cs="Arial"/>
        </w:rPr>
        <w:t xml:space="preserve"> a potential total cost of </w:t>
      </w:r>
      <w:r w:rsidR="0050065B">
        <w:rPr>
          <w:rFonts w:ascii="Arial" w:hAnsi="Arial" w:cs="Arial"/>
        </w:rPr>
        <w:t>~</w:t>
      </w:r>
      <w:r w:rsidR="007C363A">
        <w:rPr>
          <w:rFonts w:ascii="Arial" w:hAnsi="Arial" w:cs="Arial"/>
        </w:rPr>
        <w:t>£16,000</w:t>
      </w:r>
      <w:r w:rsidR="005721FA">
        <w:rPr>
          <w:rFonts w:ascii="Arial" w:hAnsi="Arial" w:cs="Arial"/>
        </w:rPr>
        <w:t xml:space="preserve"> and this paper </w:t>
      </w:r>
      <w:r w:rsidR="00965494">
        <w:rPr>
          <w:rFonts w:ascii="Arial" w:hAnsi="Arial" w:cs="Arial"/>
        </w:rPr>
        <w:t xml:space="preserve">also </w:t>
      </w:r>
      <w:r w:rsidR="00073B77">
        <w:rPr>
          <w:rFonts w:ascii="Arial" w:hAnsi="Arial" w:cs="Arial"/>
        </w:rPr>
        <w:t>considers</w:t>
      </w:r>
      <w:r w:rsidR="005721FA">
        <w:rPr>
          <w:rFonts w:ascii="Arial" w:hAnsi="Arial" w:cs="Arial"/>
        </w:rPr>
        <w:t xml:space="preserve"> funding options accordingly.</w:t>
      </w:r>
    </w:p>
    <w:p w14:paraId="255C29AB" w14:textId="5BB7464F" w:rsidR="00D77A68" w:rsidRDefault="00D77A68" w:rsidP="00154B59">
      <w:pPr>
        <w:jc w:val="both"/>
        <w:rPr>
          <w:rFonts w:ascii="Arial" w:hAnsi="Arial" w:cs="Arial"/>
        </w:rPr>
      </w:pPr>
    </w:p>
    <w:p w14:paraId="21111F97" w14:textId="6F2372BC" w:rsidR="00D77A68" w:rsidRDefault="00994B0F" w:rsidP="00154B59">
      <w:pPr>
        <w:jc w:val="both"/>
        <w:rPr>
          <w:rFonts w:ascii="Arial" w:hAnsi="Arial" w:cs="Arial"/>
          <w:b/>
          <w:bCs/>
        </w:rPr>
      </w:pPr>
      <w:r>
        <w:rPr>
          <w:rFonts w:ascii="Arial" w:hAnsi="Arial" w:cs="Arial"/>
          <w:b/>
          <w:bCs/>
        </w:rPr>
        <w:t>History</w:t>
      </w:r>
    </w:p>
    <w:p w14:paraId="666AE04C" w14:textId="2A1DAE93" w:rsidR="005E386B" w:rsidRDefault="0040049A" w:rsidP="00154B59">
      <w:pPr>
        <w:jc w:val="both"/>
        <w:rPr>
          <w:rFonts w:ascii="Arial" w:hAnsi="Arial" w:cs="Arial"/>
        </w:rPr>
      </w:pPr>
      <w:r>
        <w:rPr>
          <w:rFonts w:ascii="Arial" w:hAnsi="Arial" w:cs="Arial"/>
        </w:rPr>
        <w:t xml:space="preserve">In </w:t>
      </w:r>
      <w:r w:rsidRPr="002D15DB">
        <w:rPr>
          <w:rFonts w:ascii="Arial" w:hAnsi="Arial" w:cs="Arial"/>
        </w:rPr>
        <w:t xml:space="preserve">2015 an areawide TRO </w:t>
      </w:r>
      <w:r w:rsidR="00A96BDE" w:rsidRPr="002D15DB">
        <w:rPr>
          <w:rFonts w:ascii="Arial" w:hAnsi="Arial" w:cs="Arial"/>
        </w:rPr>
        <w:t xml:space="preserve">restricting HGVs through a number of villages in the Mid Sussex District was proposed, with wide </w:t>
      </w:r>
      <w:r w:rsidR="00E62A01" w:rsidRPr="002D15DB">
        <w:rPr>
          <w:rFonts w:ascii="Arial" w:hAnsi="Arial" w:cs="Arial"/>
        </w:rPr>
        <w:t xml:space="preserve">local </w:t>
      </w:r>
      <w:r w:rsidR="00A96BDE" w:rsidRPr="002D15DB">
        <w:rPr>
          <w:rFonts w:ascii="Arial" w:hAnsi="Arial" w:cs="Arial"/>
        </w:rPr>
        <w:t xml:space="preserve">support.  </w:t>
      </w:r>
      <w:r w:rsidR="00487D2A" w:rsidRPr="002D15DB">
        <w:rPr>
          <w:rFonts w:ascii="Arial" w:hAnsi="Arial" w:cs="Arial"/>
        </w:rPr>
        <w:t>Technically</w:t>
      </w:r>
      <w:r w:rsidR="00E62A01" w:rsidRPr="002D15DB">
        <w:rPr>
          <w:rFonts w:ascii="Arial" w:hAnsi="Arial" w:cs="Arial"/>
        </w:rPr>
        <w:t xml:space="preserve"> this remains under consideration b</w:t>
      </w:r>
      <w:r w:rsidR="00B801B2" w:rsidRPr="002D15DB">
        <w:rPr>
          <w:rFonts w:ascii="Arial" w:hAnsi="Arial" w:cs="Arial"/>
        </w:rPr>
        <w:t>y</w:t>
      </w:r>
      <w:r w:rsidR="00E62A01" w:rsidRPr="002D15DB">
        <w:rPr>
          <w:rFonts w:ascii="Arial" w:hAnsi="Arial" w:cs="Arial"/>
        </w:rPr>
        <w:t xml:space="preserve"> WSCC Highways </w:t>
      </w:r>
      <w:r w:rsidR="00487D2A" w:rsidRPr="002D15DB">
        <w:rPr>
          <w:rFonts w:ascii="Arial" w:hAnsi="Arial" w:cs="Arial"/>
        </w:rPr>
        <w:t>however</w:t>
      </w:r>
      <w:r w:rsidR="005F4365" w:rsidRPr="002D15DB">
        <w:rPr>
          <w:rFonts w:ascii="Arial" w:hAnsi="Arial" w:cs="Arial"/>
        </w:rPr>
        <w:t>,</w:t>
      </w:r>
      <w:r w:rsidR="00487D2A" w:rsidRPr="002D15DB">
        <w:rPr>
          <w:rFonts w:ascii="Arial" w:hAnsi="Arial" w:cs="Arial"/>
        </w:rPr>
        <w:t xml:space="preserve"> it is effectively </w:t>
      </w:r>
      <w:r w:rsidR="00B81858" w:rsidRPr="002D15DB">
        <w:rPr>
          <w:rFonts w:ascii="Arial" w:hAnsi="Arial" w:cs="Arial"/>
        </w:rPr>
        <w:t>considered</w:t>
      </w:r>
      <w:r w:rsidR="00487D2A" w:rsidRPr="002D15DB">
        <w:rPr>
          <w:rFonts w:ascii="Arial" w:hAnsi="Arial" w:cs="Arial"/>
        </w:rPr>
        <w:t xml:space="preserve"> </w:t>
      </w:r>
      <w:r w:rsidR="00B801B2" w:rsidRPr="002D15DB">
        <w:rPr>
          <w:rFonts w:ascii="Arial" w:hAnsi="Arial" w:cs="Arial"/>
        </w:rPr>
        <w:t>to be ‘dead in the water’</w:t>
      </w:r>
      <w:r w:rsidR="00B81858" w:rsidRPr="002D15DB">
        <w:rPr>
          <w:rFonts w:ascii="Arial" w:hAnsi="Arial" w:cs="Arial"/>
        </w:rPr>
        <w:t xml:space="preserve"> as WSCC Highways do not support it</w:t>
      </w:r>
      <w:r w:rsidR="00437DBF" w:rsidRPr="002D15DB">
        <w:rPr>
          <w:rFonts w:ascii="Arial" w:hAnsi="Arial" w:cs="Arial"/>
        </w:rPr>
        <w:t xml:space="preserve">, </w:t>
      </w:r>
      <w:r w:rsidR="00A723D8" w:rsidRPr="002D15DB">
        <w:rPr>
          <w:rFonts w:ascii="Arial" w:hAnsi="Arial" w:cs="Arial"/>
        </w:rPr>
        <w:t>with</w:t>
      </w:r>
      <w:r w:rsidR="00437DBF" w:rsidRPr="002D15DB">
        <w:rPr>
          <w:rFonts w:ascii="Arial" w:hAnsi="Arial" w:cs="Arial"/>
        </w:rPr>
        <w:t xml:space="preserve"> concerns that it would (a) effectively restrict HGVs over a relatively</w:t>
      </w:r>
      <w:r w:rsidR="00437DBF">
        <w:rPr>
          <w:rFonts w:ascii="Arial" w:hAnsi="Arial" w:cs="Arial"/>
        </w:rPr>
        <w:t xml:space="preserve"> wide area </w:t>
      </w:r>
      <w:r w:rsidR="00A723D8">
        <w:rPr>
          <w:rFonts w:ascii="Arial" w:hAnsi="Arial" w:cs="Arial"/>
        </w:rPr>
        <w:t>impacting negatively</w:t>
      </w:r>
      <w:r w:rsidR="002E08E9">
        <w:rPr>
          <w:rFonts w:ascii="Arial" w:hAnsi="Arial" w:cs="Arial"/>
        </w:rPr>
        <w:t xml:space="preserve"> on</w:t>
      </w:r>
      <w:r w:rsidR="00437DBF">
        <w:rPr>
          <w:rFonts w:ascii="Arial" w:hAnsi="Arial" w:cs="Arial"/>
        </w:rPr>
        <w:t xml:space="preserve"> commerce and (b) </w:t>
      </w:r>
      <w:r w:rsidR="007C6A2E">
        <w:rPr>
          <w:rFonts w:ascii="Arial" w:hAnsi="Arial" w:cs="Arial"/>
        </w:rPr>
        <w:t xml:space="preserve">that enforcement over such an area would be extremely difficult.  </w:t>
      </w:r>
      <w:r w:rsidR="0072641F">
        <w:rPr>
          <w:rFonts w:ascii="Arial" w:hAnsi="Arial" w:cs="Arial"/>
        </w:rPr>
        <w:t>LPC</w:t>
      </w:r>
      <w:r w:rsidR="00607E7D">
        <w:rPr>
          <w:rFonts w:ascii="Arial" w:hAnsi="Arial" w:cs="Arial"/>
        </w:rPr>
        <w:t>’</w:t>
      </w:r>
      <w:r w:rsidR="0072641F">
        <w:rPr>
          <w:rFonts w:ascii="Arial" w:hAnsi="Arial" w:cs="Arial"/>
        </w:rPr>
        <w:t xml:space="preserve">s subsequent traffic study was focussed more </w:t>
      </w:r>
      <w:r w:rsidR="00F606A0">
        <w:rPr>
          <w:rFonts w:ascii="Arial" w:hAnsi="Arial" w:cs="Arial"/>
        </w:rPr>
        <w:t>on local engineering enhancements (speed tables, width restrictions etc)</w:t>
      </w:r>
      <w:r w:rsidR="002E08E9">
        <w:rPr>
          <w:rFonts w:ascii="Arial" w:hAnsi="Arial" w:cs="Arial"/>
        </w:rPr>
        <w:t xml:space="preserve"> in various locations across the village</w:t>
      </w:r>
      <w:r w:rsidR="00F606A0">
        <w:rPr>
          <w:rFonts w:ascii="Arial" w:hAnsi="Arial" w:cs="Arial"/>
        </w:rPr>
        <w:t xml:space="preserve"> </w:t>
      </w:r>
      <w:r w:rsidR="00ED7D88">
        <w:rPr>
          <w:rFonts w:ascii="Arial" w:hAnsi="Arial" w:cs="Arial"/>
        </w:rPr>
        <w:t xml:space="preserve">but again did not gain support from WSCC, </w:t>
      </w:r>
      <w:r w:rsidR="00FE5151">
        <w:rPr>
          <w:rFonts w:ascii="Arial" w:hAnsi="Arial" w:cs="Arial"/>
        </w:rPr>
        <w:t xml:space="preserve">largely </w:t>
      </w:r>
      <w:r w:rsidR="00ED7D88">
        <w:rPr>
          <w:rFonts w:ascii="Arial" w:hAnsi="Arial" w:cs="Arial"/>
        </w:rPr>
        <w:t xml:space="preserve">reflecting their views that there was insufficient evidence of </w:t>
      </w:r>
      <w:r w:rsidR="00720927">
        <w:rPr>
          <w:rFonts w:ascii="Arial" w:hAnsi="Arial" w:cs="Arial"/>
        </w:rPr>
        <w:t>speeding or accident</w:t>
      </w:r>
      <w:r w:rsidR="00B10D31">
        <w:rPr>
          <w:rFonts w:ascii="Arial" w:hAnsi="Arial" w:cs="Arial"/>
        </w:rPr>
        <w:t>s</w:t>
      </w:r>
      <w:r w:rsidR="00720927">
        <w:rPr>
          <w:rFonts w:ascii="Arial" w:hAnsi="Arial" w:cs="Arial"/>
        </w:rPr>
        <w:t xml:space="preserve">.  It appears that ‘the door may still be open’ </w:t>
      </w:r>
      <w:r w:rsidR="00E65C0E">
        <w:rPr>
          <w:rFonts w:ascii="Arial" w:hAnsi="Arial" w:cs="Arial"/>
        </w:rPr>
        <w:t xml:space="preserve">to individual elements of the study subject to funding </w:t>
      </w:r>
      <w:r w:rsidR="00716496">
        <w:rPr>
          <w:rFonts w:ascii="Arial" w:hAnsi="Arial" w:cs="Arial"/>
        </w:rPr>
        <w:t xml:space="preserve">and will be </w:t>
      </w:r>
      <w:r w:rsidR="00BF49C7">
        <w:rPr>
          <w:rFonts w:ascii="Arial" w:hAnsi="Arial" w:cs="Arial"/>
        </w:rPr>
        <w:t>pursued</w:t>
      </w:r>
      <w:r w:rsidR="00716496">
        <w:rPr>
          <w:rFonts w:ascii="Arial" w:hAnsi="Arial" w:cs="Arial"/>
        </w:rPr>
        <w:t xml:space="preserve"> by LPC in the future</w:t>
      </w:r>
      <w:r w:rsidR="00FE5151">
        <w:rPr>
          <w:rFonts w:ascii="Arial" w:hAnsi="Arial" w:cs="Arial"/>
        </w:rPr>
        <w:t xml:space="preserve">; the </w:t>
      </w:r>
      <w:r w:rsidR="0071240A">
        <w:rPr>
          <w:rFonts w:ascii="Arial" w:hAnsi="Arial" w:cs="Arial"/>
        </w:rPr>
        <w:t xml:space="preserve">two </w:t>
      </w:r>
      <w:r w:rsidR="00FE5151">
        <w:rPr>
          <w:rFonts w:ascii="Arial" w:hAnsi="Arial" w:cs="Arial"/>
        </w:rPr>
        <w:t xml:space="preserve">SIDs </w:t>
      </w:r>
      <w:r w:rsidR="00994B0F">
        <w:rPr>
          <w:rFonts w:ascii="Arial" w:hAnsi="Arial" w:cs="Arial"/>
        </w:rPr>
        <w:t>being part of this endeavour to collect better data</w:t>
      </w:r>
      <w:r w:rsidR="00716496">
        <w:rPr>
          <w:rFonts w:ascii="Arial" w:hAnsi="Arial" w:cs="Arial"/>
        </w:rPr>
        <w:t>.</w:t>
      </w:r>
    </w:p>
    <w:p w14:paraId="46D4141F" w14:textId="0B3591C7" w:rsidR="00716496" w:rsidRDefault="00716496" w:rsidP="00154B59">
      <w:pPr>
        <w:jc w:val="both"/>
        <w:rPr>
          <w:rFonts w:ascii="Arial" w:hAnsi="Arial" w:cs="Arial"/>
        </w:rPr>
      </w:pPr>
    </w:p>
    <w:p w14:paraId="2126291B" w14:textId="0BE11D5E" w:rsidR="00D66488" w:rsidRPr="00D66488" w:rsidRDefault="00D66488" w:rsidP="00154B59">
      <w:pPr>
        <w:jc w:val="both"/>
        <w:rPr>
          <w:rFonts w:ascii="Arial" w:hAnsi="Arial" w:cs="Arial"/>
          <w:b/>
          <w:bCs/>
        </w:rPr>
      </w:pPr>
      <w:r>
        <w:rPr>
          <w:rFonts w:ascii="Arial" w:hAnsi="Arial" w:cs="Arial"/>
          <w:b/>
          <w:bCs/>
        </w:rPr>
        <w:t>Background</w:t>
      </w:r>
      <w:r w:rsidR="000F221E">
        <w:rPr>
          <w:rFonts w:ascii="Arial" w:hAnsi="Arial" w:cs="Arial"/>
          <w:b/>
          <w:bCs/>
        </w:rPr>
        <w:t xml:space="preserve"> to the current proposal</w:t>
      </w:r>
    </w:p>
    <w:p w14:paraId="2778EC7F" w14:textId="065D9396" w:rsidR="00716496" w:rsidRDefault="007D50AF" w:rsidP="00154B59">
      <w:pPr>
        <w:jc w:val="both"/>
        <w:rPr>
          <w:rFonts w:ascii="Arial" w:hAnsi="Arial" w:cs="Arial"/>
        </w:rPr>
      </w:pPr>
      <w:r>
        <w:rPr>
          <w:rFonts w:ascii="Arial" w:hAnsi="Arial" w:cs="Arial"/>
        </w:rPr>
        <w:t xml:space="preserve">Villagers </w:t>
      </w:r>
      <w:r w:rsidR="005E6F05">
        <w:rPr>
          <w:rFonts w:ascii="Arial" w:hAnsi="Arial" w:cs="Arial"/>
        </w:rPr>
        <w:t>continue to be</w:t>
      </w:r>
      <w:r>
        <w:rPr>
          <w:rFonts w:ascii="Arial" w:hAnsi="Arial" w:cs="Arial"/>
        </w:rPr>
        <w:t xml:space="preserve"> concerned about the volumes of HGVs passing through the High Street</w:t>
      </w:r>
      <w:r w:rsidR="00481D95">
        <w:rPr>
          <w:rFonts w:ascii="Arial" w:hAnsi="Arial" w:cs="Arial"/>
        </w:rPr>
        <w:t xml:space="preserve">, citing </w:t>
      </w:r>
      <w:r w:rsidR="009F3BF5">
        <w:rPr>
          <w:rFonts w:ascii="Arial" w:hAnsi="Arial" w:cs="Arial"/>
        </w:rPr>
        <w:t xml:space="preserve">vibration </w:t>
      </w:r>
      <w:r w:rsidR="00481D95">
        <w:rPr>
          <w:rFonts w:ascii="Arial" w:hAnsi="Arial" w:cs="Arial"/>
        </w:rPr>
        <w:t xml:space="preserve">damage to listed </w:t>
      </w:r>
      <w:r w:rsidR="00426F8A">
        <w:rPr>
          <w:rFonts w:ascii="Arial" w:hAnsi="Arial" w:cs="Arial"/>
        </w:rPr>
        <w:t>buildings</w:t>
      </w:r>
      <w:r w:rsidR="00481D95">
        <w:rPr>
          <w:rFonts w:ascii="Arial" w:hAnsi="Arial" w:cs="Arial"/>
        </w:rPr>
        <w:t xml:space="preserve"> and on occasion speeding</w:t>
      </w:r>
      <w:r w:rsidR="00426F8A">
        <w:rPr>
          <w:rFonts w:ascii="Arial" w:hAnsi="Arial" w:cs="Arial"/>
        </w:rPr>
        <w:t>,</w:t>
      </w:r>
      <w:r w:rsidR="00481D95">
        <w:rPr>
          <w:rFonts w:ascii="Arial" w:hAnsi="Arial" w:cs="Arial"/>
        </w:rPr>
        <w:t xml:space="preserve"> as well as </w:t>
      </w:r>
      <w:r w:rsidR="00D83963">
        <w:rPr>
          <w:rFonts w:ascii="Arial" w:hAnsi="Arial" w:cs="Arial"/>
        </w:rPr>
        <w:t>travelling with uncovered load</w:t>
      </w:r>
      <w:r w:rsidR="00426F8A">
        <w:rPr>
          <w:rFonts w:ascii="Arial" w:hAnsi="Arial" w:cs="Arial"/>
        </w:rPr>
        <w:t>s;</w:t>
      </w:r>
      <w:r w:rsidR="00D83963">
        <w:rPr>
          <w:rFonts w:ascii="Arial" w:hAnsi="Arial" w:cs="Arial"/>
        </w:rPr>
        <w:t xml:space="preserve"> dropping dust and material.</w:t>
      </w:r>
      <w:r>
        <w:rPr>
          <w:rFonts w:ascii="Arial" w:hAnsi="Arial" w:cs="Arial"/>
        </w:rPr>
        <w:t xml:space="preserve"> </w:t>
      </w:r>
      <w:r w:rsidR="004A1F36">
        <w:rPr>
          <w:rFonts w:ascii="Arial" w:hAnsi="Arial" w:cs="Arial"/>
        </w:rPr>
        <w:t xml:space="preserve"> A </w:t>
      </w:r>
      <w:r w:rsidR="00994B0F">
        <w:rPr>
          <w:rFonts w:ascii="Arial" w:hAnsi="Arial" w:cs="Arial"/>
        </w:rPr>
        <w:t>particular</w:t>
      </w:r>
      <w:r w:rsidR="004A1F36">
        <w:rPr>
          <w:rFonts w:ascii="Arial" w:hAnsi="Arial" w:cs="Arial"/>
        </w:rPr>
        <w:t xml:space="preserve"> concern is </w:t>
      </w:r>
      <w:r w:rsidR="00B10153">
        <w:rPr>
          <w:rFonts w:ascii="Arial" w:hAnsi="Arial" w:cs="Arial"/>
        </w:rPr>
        <w:t xml:space="preserve">the Lewes Road / High Street junction </w:t>
      </w:r>
      <w:r>
        <w:rPr>
          <w:rFonts w:ascii="Arial" w:hAnsi="Arial" w:cs="Arial"/>
        </w:rPr>
        <w:t xml:space="preserve">where </w:t>
      </w:r>
      <w:r w:rsidR="00B10153">
        <w:rPr>
          <w:rFonts w:ascii="Arial" w:hAnsi="Arial" w:cs="Arial"/>
        </w:rPr>
        <w:t>such vehicles</w:t>
      </w:r>
      <w:r>
        <w:rPr>
          <w:rFonts w:ascii="Arial" w:hAnsi="Arial" w:cs="Arial"/>
        </w:rPr>
        <w:t xml:space="preserve"> frequently mount the pavement</w:t>
      </w:r>
      <w:r w:rsidR="00FE4D8C">
        <w:rPr>
          <w:rFonts w:ascii="Arial" w:hAnsi="Arial" w:cs="Arial"/>
        </w:rPr>
        <w:t xml:space="preserve"> to the detriment of pedestrian safety.</w:t>
      </w:r>
    </w:p>
    <w:p w14:paraId="69320191" w14:textId="3E730692" w:rsidR="005C4945" w:rsidRDefault="005C4945" w:rsidP="00154B59">
      <w:pPr>
        <w:jc w:val="both"/>
        <w:rPr>
          <w:rFonts w:ascii="Arial" w:hAnsi="Arial" w:cs="Arial"/>
        </w:rPr>
      </w:pPr>
    </w:p>
    <w:p w14:paraId="5DCFE248" w14:textId="581E3A2A" w:rsidR="005C4945" w:rsidRDefault="0031796E" w:rsidP="00154B59">
      <w:pPr>
        <w:jc w:val="both"/>
        <w:rPr>
          <w:rFonts w:ascii="Arial" w:hAnsi="Arial" w:cs="Arial"/>
        </w:rPr>
      </w:pPr>
      <w:r>
        <w:rPr>
          <w:rFonts w:ascii="Arial" w:hAnsi="Arial" w:cs="Arial"/>
        </w:rPr>
        <w:t xml:space="preserve">In </w:t>
      </w:r>
      <w:r w:rsidR="003B76C2">
        <w:rPr>
          <w:rFonts w:ascii="Arial" w:hAnsi="Arial" w:cs="Arial"/>
        </w:rPr>
        <w:t xml:space="preserve">Q3 </w:t>
      </w:r>
      <w:r>
        <w:rPr>
          <w:rFonts w:ascii="Arial" w:hAnsi="Arial" w:cs="Arial"/>
        </w:rPr>
        <w:t xml:space="preserve">2018 </w:t>
      </w:r>
      <w:r w:rsidR="00F37BFC">
        <w:rPr>
          <w:rFonts w:ascii="Arial" w:hAnsi="Arial" w:cs="Arial"/>
        </w:rPr>
        <w:t xml:space="preserve">Mr Turner </w:t>
      </w:r>
      <w:r w:rsidR="009C7EFC">
        <w:rPr>
          <w:rFonts w:ascii="Arial" w:hAnsi="Arial" w:cs="Arial"/>
        </w:rPr>
        <w:t xml:space="preserve">proposed a TRO on HGVs </w:t>
      </w:r>
      <w:r w:rsidR="00B92625">
        <w:rPr>
          <w:rFonts w:ascii="Arial" w:hAnsi="Arial" w:cs="Arial"/>
        </w:rPr>
        <w:t xml:space="preserve">on the Lewes Road </w:t>
      </w:r>
      <w:r w:rsidR="009C7EFC">
        <w:rPr>
          <w:rFonts w:ascii="Arial" w:hAnsi="Arial" w:cs="Arial"/>
        </w:rPr>
        <w:t xml:space="preserve">between </w:t>
      </w:r>
      <w:proofErr w:type="spellStart"/>
      <w:r w:rsidR="00B92625">
        <w:rPr>
          <w:rFonts w:ascii="Arial" w:hAnsi="Arial" w:cs="Arial"/>
        </w:rPr>
        <w:t>Gravelye</w:t>
      </w:r>
      <w:proofErr w:type="spellEnd"/>
      <w:r w:rsidR="00B92625">
        <w:rPr>
          <w:rFonts w:ascii="Arial" w:hAnsi="Arial" w:cs="Arial"/>
        </w:rPr>
        <w:t xml:space="preserve"> Lane and Lindfield High Street.  The idea being that with appropriate </w:t>
      </w:r>
      <w:r w:rsidR="001A5C74">
        <w:rPr>
          <w:rFonts w:ascii="Arial" w:hAnsi="Arial" w:cs="Arial"/>
        </w:rPr>
        <w:t>signage</w:t>
      </w:r>
      <w:r w:rsidR="00B92625">
        <w:rPr>
          <w:rFonts w:ascii="Arial" w:hAnsi="Arial" w:cs="Arial"/>
        </w:rPr>
        <w:t xml:space="preserve"> HGVs would use the A272 in line with WSCC Advisory </w:t>
      </w:r>
      <w:r w:rsidR="00E83266">
        <w:rPr>
          <w:rFonts w:ascii="Arial" w:hAnsi="Arial" w:cs="Arial"/>
        </w:rPr>
        <w:t xml:space="preserve">Lorry Routes rather than take short cuts though Lindfield.  </w:t>
      </w:r>
      <w:r w:rsidR="00DB03B1">
        <w:rPr>
          <w:rFonts w:ascii="Arial" w:hAnsi="Arial" w:cs="Arial"/>
        </w:rPr>
        <w:t>Such restriction woul</w:t>
      </w:r>
      <w:r w:rsidR="00805A41">
        <w:rPr>
          <w:rFonts w:ascii="Arial" w:hAnsi="Arial" w:cs="Arial"/>
        </w:rPr>
        <w:t xml:space="preserve">d also reduce the propensity for HGVs to travel North/South through the High Street as </w:t>
      </w:r>
      <w:r w:rsidR="007C7F69">
        <w:rPr>
          <w:rFonts w:ascii="Arial" w:hAnsi="Arial" w:cs="Arial"/>
        </w:rPr>
        <w:t>they would be unable to exit via the Lewes Road</w:t>
      </w:r>
      <w:r w:rsidR="00682E37">
        <w:rPr>
          <w:rFonts w:ascii="Arial" w:hAnsi="Arial" w:cs="Arial"/>
        </w:rPr>
        <w:t>.  It was recognised from the outset that enforcement would be an issue however</w:t>
      </w:r>
      <w:r w:rsidR="006B477A">
        <w:rPr>
          <w:rFonts w:ascii="Arial" w:hAnsi="Arial" w:cs="Arial"/>
        </w:rPr>
        <w:t>,</w:t>
      </w:r>
      <w:r w:rsidR="00682E37">
        <w:rPr>
          <w:rFonts w:ascii="Arial" w:hAnsi="Arial" w:cs="Arial"/>
        </w:rPr>
        <w:t xml:space="preserve"> a combination of signage</w:t>
      </w:r>
      <w:r w:rsidR="002A5E8F">
        <w:rPr>
          <w:rFonts w:ascii="Arial" w:hAnsi="Arial" w:cs="Arial"/>
        </w:rPr>
        <w:t xml:space="preserve">, the gradual recognition of the restriction in the navigation planning used by such vehicles </w:t>
      </w:r>
      <w:r w:rsidR="0082045E">
        <w:rPr>
          <w:rFonts w:ascii="Arial" w:hAnsi="Arial" w:cs="Arial"/>
        </w:rPr>
        <w:t>and villager’s own focus on the issue</w:t>
      </w:r>
      <w:r w:rsidR="00E647BA">
        <w:rPr>
          <w:rFonts w:ascii="Arial" w:hAnsi="Arial" w:cs="Arial"/>
        </w:rPr>
        <w:t xml:space="preserve"> – if </w:t>
      </w:r>
      <w:r w:rsidR="00B23413">
        <w:rPr>
          <w:rFonts w:ascii="Arial" w:hAnsi="Arial" w:cs="Arial"/>
        </w:rPr>
        <w:t>necessary,</w:t>
      </w:r>
      <w:r w:rsidR="00E647BA">
        <w:rPr>
          <w:rFonts w:ascii="Arial" w:hAnsi="Arial" w:cs="Arial"/>
        </w:rPr>
        <w:t xml:space="preserve"> contacting </w:t>
      </w:r>
      <w:r w:rsidR="004E1F18">
        <w:rPr>
          <w:rFonts w:ascii="Arial" w:hAnsi="Arial" w:cs="Arial"/>
        </w:rPr>
        <w:t xml:space="preserve">transgressor </w:t>
      </w:r>
      <w:r w:rsidR="00E647BA">
        <w:rPr>
          <w:rFonts w:ascii="Arial" w:hAnsi="Arial" w:cs="Arial"/>
        </w:rPr>
        <w:t>haulage companies</w:t>
      </w:r>
      <w:r w:rsidR="006B477A">
        <w:rPr>
          <w:rFonts w:ascii="Arial" w:hAnsi="Arial" w:cs="Arial"/>
        </w:rPr>
        <w:t xml:space="preserve"> directly,</w:t>
      </w:r>
      <w:r w:rsidR="00E647BA">
        <w:rPr>
          <w:rFonts w:ascii="Arial" w:hAnsi="Arial" w:cs="Arial"/>
        </w:rPr>
        <w:t xml:space="preserve"> </w:t>
      </w:r>
      <w:r w:rsidR="001E01A8">
        <w:rPr>
          <w:rFonts w:ascii="Arial" w:hAnsi="Arial" w:cs="Arial"/>
        </w:rPr>
        <w:t xml:space="preserve">would over time improve the situation.  Alongside this, LPC </w:t>
      </w:r>
      <w:r w:rsidR="003745E7">
        <w:rPr>
          <w:rFonts w:ascii="Arial" w:hAnsi="Arial" w:cs="Arial"/>
        </w:rPr>
        <w:t>wrote to local planning authorities seeking their co-</w:t>
      </w:r>
      <w:r w:rsidR="00B23413">
        <w:rPr>
          <w:rFonts w:ascii="Arial" w:hAnsi="Arial" w:cs="Arial"/>
        </w:rPr>
        <w:t>operation</w:t>
      </w:r>
      <w:r w:rsidR="003745E7">
        <w:rPr>
          <w:rFonts w:ascii="Arial" w:hAnsi="Arial" w:cs="Arial"/>
        </w:rPr>
        <w:t xml:space="preserve"> that for larger developments the required Construction Management Plan would </w:t>
      </w:r>
      <w:r w:rsidR="00B23413">
        <w:rPr>
          <w:rFonts w:ascii="Arial" w:hAnsi="Arial" w:cs="Arial"/>
        </w:rPr>
        <w:t xml:space="preserve">prescribe the use of </w:t>
      </w:r>
      <w:r w:rsidR="007A1B20">
        <w:rPr>
          <w:rFonts w:ascii="Arial" w:hAnsi="Arial" w:cs="Arial"/>
        </w:rPr>
        <w:t xml:space="preserve">Lindfield High Street / Lewes Road.  Four of five planning </w:t>
      </w:r>
      <w:r w:rsidR="00917BF8">
        <w:rPr>
          <w:rFonts w:ascii="Arial" w:hAnsi="Arial" w:cs="Arial"/>
        </w:rPr>
        <w:t>authorities</w:t>
      </w:r>
      <w:r w:rsidR="007A1B20">
        <w:rPr>
          <w:rFonts w:ascii="Arial" w:hAnsi="Arial" w:cs="Arial"/>
        </w:rPr>
        <w:t xml:space="preserve"> agreed to consider this accordingly</w:t>
      </w:r>
      <w:r w:rsidR="006F5230">
        <w:rPr>
          <w:rFonts w:ascii="Arial" w:hAnsi="Arial" w:cs="Arial"/>
        </w:rPr>
        <w:t>.</w:t>
      </w:r>
    </w:p>
    <w:p w14:paraId="090F1784" w14:textId="2305E378" w:rsidR="006F5230" w:rsidRDefault="006F5230" w:rsidP="00154B59">
      <w:pPr>
        <w:jc w:val="both"/>
        <w:rPr>
          <w:rFonts w:ascii="Arial" w:hAnsi="Arial" w:cs="Arial"/>
        </w:rPr>
      </w:pPr>
    </w:p>
    <w:p w14:paraId="33F43522" w14:textId="472CBB78" w:rsidR="006F5230" w:rsidRPr="0040049A" w:rsidRDefault="006F5230" w:rsidP="00154B59">
      <w:pPr>
        <w:jc w:val="both"/>
        <w:rPr>
          <w:rFonts w:ascii="Arial" w:hAnsi="Arial" w:cs="Arial"/>
        </w:rPr>
      </w:pPr>
      <w:r>
        <w:rPr>
          <w:rFonts w:ascii="Arial" w:hAnsi="Arial" w:cs="Arial"/>
        </w:rPr>
        <w:t>M</w:t>
      </w:r>
      <w:r w:rsidR="009B4B78">
        <w:rPr>
          <w:rFonts w:ascii="Arial" w:hAnsi="Arial" w:cs="Arial"/>
        </w:rPr>
        <w:t>r</w:t>
      </w:r>
      <w:r>
        <w:rPr>
          <w:rFonts w:ascii="Arial" w:hAnsi="Arial" w:cs="Arial"/>
        </w:rPr>
        <w:t xml:space="preserve"> Turner</w:t>
      </w:r>
      <w:r w:rsidR="007C1ECA">
        <w:rPr>
          <w:rFonts w:ascii="Arial" w:hAnsi="Arial" w:cs="Arial"/>
        </w:rPr>
        <w:t>’s</w:t>
      </w:r>
      <w:r>
        <w:rPr>
          <w:rFonts w:ascii="Arial" w:hAnsi="Arial" w:cs="Arial"/>
        </w:rPr>
        <w:t xml:space="preserve"> application was submitted </w:t>
      </w:r>
      <w:r w:rsidR="00AF4AC2">
        <w:rPr>
          <w:rFonts w:ascii="Arial" w:hAnsi="Arial" w:cs="Arial"/>
        </w:rPr>
        <w:t>at the end of January 2019</w:t>
      </w:r>
      <w:r w:rsidR="00CD3BEE">
        <w:rPr>
          <w:rFonts w:ascii="Arial" w:hAnsi="Arial" w:cs="Arial"/>
        </w:rPr>
        <w:t xml:space="preserve"> and included support from ~</w:t>
      </w:r>
      <w:r w:rsidR="00E10078">
        <w:rPr>
          <w:rFonts w:ascii="Arial" w:hAnsi="Arial" w:cs="Arial"/>
        </w:rPr>
        <w:t xml:space="preserve">1200 petitioners </w:t>
      </w:r>
      <w:r w:rsidR="0052013E">
        <w:rPr>
          <w:rFonts w:ascii="Arial" w:hAnsi="Arial" w:cs="Arial"/>
        </w:rPr>
        <w:t>as well as</w:t>
      </w:r>
      <w:r w:rsidR="00E10078">
        <w:rPr>
          <w:rFonts w:ascii="Arial" w:hAnsi="Arial" w:cs="Arial"/>
        </w:rPr>
        <w:t xml:space="preserve"> Lindfield Parish Council.  </w:t>
      </w:r>
      <w:r w:rsidR="00570CC6">
        <w:rPr>
          <w:rFonts w:ascii="Arial" w:hAnsi="Arial" w:cs="Arial"/>
        </w:rPr>
        <w:t xml:space="preserve">Following various </w:t>
      </w:r>
      <w:r w:rsidR="0086056E">
        <w:rPr>
          <w:rFonts w:ascii="Arial" w:hAnsi="Arial" w:cs="Arial"/>
        </w:rPr>
        <w:t>meetings</w:t>
      </w:r>
      <w:r w:rsidR="00996DEA">
        <w:rPr>
          <w:rFonts w:ascii="Arial" w:hAnsi="Arial" w:cs="Arial"/>
        </w:rPr>
        <w:t xml:space="preserve">, conversations and a formal complaint, </w:t>
      </w:r>
      <w:r w:rsidR="00A65E85">
        <w:rPr>
          <w:rFonts w:ascii="Arial" w:hAnsi="Arial" w:cs="Arial"/>
        </w:rPr>
        <w:t xml:space="preserve">in July 2019 </w:t>
      </w:r>
      <w:r w:rsidR="00996DEA">
        <w:rPr>
          <w:rFonts w:ascii="Arial" w:hAnsi="Arial" w:cs="Arial"/>
        </w:rPr>
        <w:t>WSCC</w:t>
      </w:r>
      <w:r w:rsidR="00AE4B61">
        <w:rPr>
          <w:rFonts w:ascii="Arial" w:hAnsi="Arial" w:cs="Arial"/>
        </w:rPr>
        <w:t xml:space="preserve"> Highways Authority </w:t>
      </w:r>
      <w:r w:rsidR="00996DEA">
        <w:rPr>
          <w:rFonts w:ascii="Arial" w:hAnsi="Arial" w:cs="Arial"/>
        </w:rPr>
        <w:t>issued</w:t>
      </w:r>
      <w:r w:rsidR="00AE4B61">
        <w:rPr>
          <w:rFonts w:ascii="Arial" w:hAnsi="Arial" w:cs="Arial"/>
        </w:rPr>
        <w:t xml:space="preserve"> a letter</w:t>
      </w:r>
      <w:r w:rsidR="00996DEA">
        <w:rPr>
          <w:rFonts w:ascii="Arial" w:hAnsi="Arial" w:cs="Arial"/>
        </w:rPr>
        <w:t xml:space="preserve"> </w:t>
      </w:r>
      <w:r w:rsidR="001A0EC1">
        <w:rPr>
          <w:rFonts w:ascii="Arial" w:hAnsi="Arial" w:cs="Arial"/>
        </w:rPr>
        <w:t>stating that it would not support the application.</w:t>
      </w:r>
      <w:r>
        <w:rPr>
          <w:rFonts w:ascii="Arial" w:hAnsi="Arial" w:cs="Arial"/>
        </w:rPr>
        <w:t xml:space="preserve"> </w:t>
      </w:r>
      <w:r w:rsidR="009B4B78">
        <w:rPr>
          <w:rFonts w:ascii="Arial" w:hAnsi="Arial" w:cs="Arial"/>
        </w:rPr>
        <w:t xml:space="preserve">  In </w:t>
      </w:r>
      <w:r w:rsidR="00B92A19">
        <w:rPr>
          <w:rFonts w:ascii="Arial" w:hAnsi="Arial" w:cs="Arial"/>
        </w:rPr>
        <w:t>December</w:t>
      </w:r>
      <w:r w:rsidR="009B4B78">
        <w:rPr>
          <w:rFonts w:ascii="Arial" w:hAnsi="Arial" w:cs="Arial"/>
        </w:rPr>
        <w:t xml:space="preserve"> 2019 a meeting was held with </w:t>
      </w:r>
      <w:r w:rsidR="00930D67">
        <w:rPr>
          <w:rFonts w:ascii="Arial" w:hAnsi="Arial" w:cs="Arial"/>
        </w:rPr>
        <w:t>the Head of Highways</w:t>
      </w:r>
      <w:r w:rsidR="00A30DD3">
        <w:rPr>
          <w:rFonts w:ascii="Arial" w:hAnsi="Arial" w:cs="Arial"/>
        </w:rPr>
        <w:t xml:space="preserve"> and following further machinations ultimately resulted </w:t>
      </w:r>
      <w:r w:rsidR="006A0592">
        <w:rPr>
          <w:rFonts w:ascii="Arial" w:hAnsi="Arial" w:cs="Arial"/>
        </w:rPr>
        <w:t xml:space="preserve">in a more positive approach from WSCC Highways, although a </w:t>
      </w:r>
      <w:r w:rsidR="008A12A5">
        <w:rPr>
          <w:rFonts w:ascii="Arial" w:hAnsi="Arial" w:cs="Arial"/>
        </w:rPr>
        <w:t>number of hurdles remain.</w:t>
      </w:r>
    </w:p>
    <w:p w14:paraId="15FF8815" w14:textId="4DFA6BCD" w:rsidR="00FE6E1B" w:rsidRPr="00FE6E1B" w:rsidRDefault="00FE6E1B" w:rsidP="00154B59">
      <w:pPr>
        <w:jc w:val="both"/>
        <w:rPr>
          <w:rFonts w:ascii="Arial" w:hAnsi="Arial" w:cs="Arial"/>
          <w:b/>
          <w:bCs/>
        </w:rPr>
      </w:pPr>
      <w:r>
        <w:rPr>
          <w:rFonts w:ascii="Arial" w:hAnsi="Arial" w:cs="Arial"/>
          <w:b/>
          <w:bCs/>
        </w:rPr>
        <w:lastRenderedPageBreak/>
        <w:t>Current Position</w:t>
      </w:r>
    </w:p>
    <w:p w14:paraId="1B62F2F3" w14:textId="26369DDD" w:rsidR="00EC7A71" w:rsidRDefault="008A12A5" w:rsidP="00DB7AE8">
      <w:pPr>
        <w:jc w:val="both"/>
        <w:rPr>
          <w:rFonts w:ascii="Arial" w:hAnsi="Arial" w:cs="Arial"/>
        </w:rPr>
      </w:pPr>
      <w:r>
        <w:rPr>
          <w:rFonts w:ascii="Arial" w:hAnsi="Arial" w:cs="Arial"/>
        </w:rPr>
        <w:t xml:space="preserve">As shown in Appendix One, WSCC Highways have </w:t>
      </w:r>
      <w:r w:rsidR="00EA391E">
        <w:rPr>
          <w:rFonts w:ascii="Arial" w:hAnsi="Arial" w:cs="Arial"/>
        </w:rPr>
        <w:t>advised</w:t>
      </w:r>
      <w:r>
        <w:rPr>
          <w:rFonts w:ascii="Arial" w:hAnsi="Arial" w:cs="Arial"/>
        </w:rPr>
        <w:t xml:space="preserve"> a number of steps </w:t>
      </w:r>
      <w:r w:rsidR="004A6EC7">
        <w:rPr>
          <w:rFonts w:ascii="Arial" w:hAnsi="Arial" w:cs="Arial"/>
        </w:rPr>
        <w:t xml:space="preserve">required </w:t>
      </w:r>
      <w:r w:rsidR="00EC7A71">
        <w:rPr>
          <w:rFonts w:ascii="Arial" w:hAnsi="Arial" w:cs="Arial"/>
        </w:rPr>
        <w:t xml:space="preserve">to progress this </w:t>
      </w:r>
      <w:r w:rsidR="005009F9">
        <w:rPr>
          <w:rFonts w:ascii="Arial" w:hAnsi="Arial" w:cs="Arial"/>
        </w:rPr>
        <w:t>proposal</w:t>
      </w:r>
      <w:r w:rsidR="00EC7A71">
        <w:rPr>
          <w:rFonts w:ascii="Arial" w:hAnsi="Arial" w:cs="Arial"/>
        </w:rPr>
        <w:t xml:space="preserve"> further</w:t>
      </w:r>
      <w:r w:rsidR="00712F1E">
        <w:rPr>
          <w:rFonts w:ascii="Arial" w:hAnsi="Arial" w:cs="Arial"/>
        </w:rPr>
        <w:t xml:space="preserve"> and a</w:t>
      </w:r>
      <w:r w:rsidR="00EA391E">
        <w:rPr>
          <w:rFonts w:ascii="Arial" w:hAnsi="Arial" w:cs="Arial"/>
        </w:rPr>
        <w:t>n estimate</w:t>
      </w:r>
      <w:r w:rsidR="00712F1E">
        <w:rPr>
          <w:rFonts w:ascii="Arial" w:hAnsi="Arial" w:cs="Arial"/>
        </w:rPr>
        <w:t xml:space="preserve"> has been obtained (see copy) for the Consultation at £6,500</w:t>
      </w:r>
      <w:r w:rsidR="008E656D">
        <w:rPr>
          <w:rFonts w:ascii="Arial" w:hAnsi="Arial" w:cs="Arial"/>
        </w:rPr>
        <w:t xml:space="preserve">.  </w:t>
      </w:r>
      <w:r w:rsidR="00662E4D">
        <w:rPr>
          <w:rFonts w:ascii="Arial" w:hAnsi="Arial" w:cs="Arial"/>
        </w:rPr>
        <w:t xml:space="preserve">Both </w:t>
      </w:r>
      <w:r w:rsidR="008E656D">
        <w:rPr>
          <w:rFonts w:ascii="Arial" w:hAnsi="Arial" w:cs="Arial"/>
        </w:rPr>
        <w:t xml:space="preserve">P&amp;TC and Full Council have </w:t>
      </w:r>
      <w:r w:rsidR="00FA466F">
        <w:rPr>
          <w:rFonts w:ascii="Arial" w:hAnsi="Arial" w:cs="Arial"/>
        </w:rPr>
        <w:t>previously</w:t>
      </w:r>
      <w:r w:rsidR="008E656D">
        <w:rPr>
          <w:rFonts w:ascii="Arial" w:hAnsi="Arial" w:cs="Arial"/>
        </w:rPr>
        <w:t xml:space="preserve"> indicated their intention to support this </w:t>
      </w:r>
      <w:r w:rsidR="00662E4D">
        <w:rPr>
          <w:rFonts w:ascii="Arial" w:hAnsi="Arial" w:cs="Arial"/>
        </w:rPr>
        <w:t>scheme</w:t>
      </w:r>
      <w:r w:rsidR="00EA02F8">
        <w:rPr>
          <w:rFonts w:ascii="Arial" w:hAnsi="Arial" w:cs="Arial"/>
        </w:rPr>
        <w:t xml:space="preserve"> financially</w:t>
      </w:r>
      <w:r w:rsidR="008E656D">
        <w:rPr>
          <w:rFonts w:ascii="Arial" w:hAnsi="Arial" w:cs="Arial"/>
        </w:rPr>
        <w:t>, subject to understanding the amounts involved</w:t>
      </w:r>
      <w:r w:rsidR="00FA466F">
        <w:rPr>
          <w:rFonts w:ascii="Arial" w:hAnsi="Arial" w:cs="Arial"/>
        </w:rPr>
        <w:t>.</w:t>
      </w:r>
    </w:p>
    <w:p w14:paraId="4B4C8755" w14:textId="51F096A1" w:rsidR="00FA466F" w:rsidRDefault="00FA466F" w:rsidP="00DB7AE8">
      <w:pPr>
        <w:jc w:val="both"/>
        <w:rPr>
          <w:rFonts w:ascii="Arial" w:hAnsi="Arial" w:cs="Arial"/>
        </w:rPr>
      </w:pPr>
    </w:p>
    <w:p w14:paraId="15CF74A9" w14:textId="3352C030" w:rsidR="00FA466F" w:rsidRDefault="00FA466F" w:rsidP="00DB7AE8">
      <w:pPr>
        <w:jc w:val="both"/>
        <w:rPr>
          <w:rFonts w:ascii="Arial" w:hAnsi="Arial" w:cs="Arial"/>
        </w:rPr>
      </w:pPr>
      <w:r>
        <w:rPr>
          <w:rFonts w:ascii="Arial" w:hAnsi="Arial" w:cs="Arial"/>
        </w:rPr>
        <w:t xml:space="preserve">It was made clear </w:t>
      </w:r>
      <w:r w:rsidR="00EA02F8">
        <w:rPr>
          <w:rFonts w:ascii="Arial" w:hAnsi="Arial" w:cs="Arial"/>
        </w:rPr>
        <w:t xml:space="preserve">by WSCC </w:t>
      </w:r>
      <w:r>
        <w:rPr>
          <w:rFonts w:ascii="Arial" w:hAnsi="Arial" w:cs="Arial"/>
        </w:rPr>
        <w:t xml:space="preserve">that Section 106 or similar </w:t>
      </w:r>
      <w:r w:rsidR="00FD5D69">
        <w:rPr>
          <w:rFonts w:ascii="Arial" w:hAnsi="Arial" w:cs="Arial"/>
        </w:rPr>
        <w:t>funding</w:t>
      </w:r>
      <w:r>
        <w:rPr>
          <w:rFonts w:ascii="Arial" w:hAnsi="Arial" w:cs="Arial"/>
        </w:rPr>
        <w:t xml:space="preserve"> cannot be used for </w:t>
      </w:r>
      <w:r w:rsidR="00FD5D69">
        <w:rPr>
          <w:rFonts w:ascii="Arial" w:hAnsi="Arial" w:cs="Arial"/>
        </w:rPr>
        <w:t>the</w:t>
      </w:r>
      <w:r>
        <w:rPr>
          <w:rFonts w:ascii="Arial" w:hAnsi="Arial" w:cs="Arial"/>
        </w:rPr>
        <w:t xml:space="preserve"> purposes of the </w:t>
      </w:r>
      <w:r w:rsidR="00FD5D69">
        <w:rPr>
          <w:rFonts w:ascii="Arial" w:hAnsi="Arial" w:cs="Arial"/>
        </w:rPr>
        <w:t>consultation</w:t>
      </w:r>
      <w:r>
        <w:rPr>
          <w:rFonts w:ascii="Arial" w:hAnsi="Arial" w:cs="Arial"/>
        </w:rPr>
        <w:t xml:space="preserve"> and consequently LPC </w:t>
      </w:r>
      <w:r w:rsidR="00970812">
        <w:rPr>
          <w:rFonts w:ascii="Arial" w:hAnsi="Arial" w:cs="Arial"/>
        </w:rPr>
        <w:t>needs to decide whether to fund this element.</w:t>
      </w:r>
      <w:r w:rsidR="009A3F0B">
        <w:rPr>
          <w:rFonts w:ascii="Arial" w:hAnsi="Arial" w:cs="Arial"/>
        </w:rPr>
        <w:t xml:space="preserve">  There is, of course, the potential</w:t>
      </w:r>
      <w:r w:rsidR="00F775CE">
        <w:rPr>
          <w:rFonts w:ascii="Arial" w:hAnsi="Arial" w:cs="Arial"/>
        </w:rPr>
        <w:t xml:space="preserve"> danger</w:t>
      </w:r>
      <w:r w:rsidR="009A3F0B">
        <w:rPr>
          <w:rFonts w:ascii="Arial" w:hAnsi="Arial" w:cs="Arial"/>
        </w:rPr>
        <w:t xml:space="preserve"> that </w:t>
      </w:r>
      <w:r w:rsidR="008966E5">
        <w:rPr>
          <w:rFonts w:ascii="Arial" w:hAnsi="Arial" w:cs="Arial"/>
        </w:rPr>
        <w:t xml:space="preserve">the </w:t>
      </w:r>
      <w:r w:rsidR="00F26B3F">
        <w:rPr>
          <w:rFonts w:ascii="Arial" w:hAnsi="Arial" w:cs="Arial"/>
        </w:rPr>
        <w:t>consultation</w:t>
      </w:r>
      <w:r w:rsidR="008966E5">
        <w:rPr>
          <w:rFonts w:ascii="Arial" w:hAnsi="Arial" w:cs="Arial"/>
        </w:rPr>
        <w:t xml:space="preserve"> </w:t>
      </w:r>
      <w:r w:rsidR="00F22814">
        <w:rPr>
          <w:rFonts w:ascii="Arial" w:hAnsi="Arial" w:cs="Arial"/>
        </w:rPr>
        <w:t>/</w:t>
      </w:r>
      <w:r w:rsidR="008966E5">
        <w:rPr>
          <w:rFonts w:ascii="Arial" w:hAnsi="Arial" w:cs="Arial"/>
        </w:rPr>
        <w:t xml:space="preserve"> </w:t>
      </w:r>
      <w:r w:rsidR="00F26B3F">
        <w:rPr>
          <w:rFonts w:ascii="Arial" w:hAnsi="Arial" w:cs="Arial"/>
        </w:rPr>
        <w:t xml:space="preserve">subsequent application to WSCC’s CLC (see Appendix One) </w:t>
      </w:r>
      <w:r w:rsidR="00F775CE">
        <w:rPr>
          <w:rFonts w:ascii="Arial" w:hAnsi="Arial" w:cs="Arial"/>
        </w:rPr>
        <w:t>does not allow the scheme to progress</w:t>
      </w:r>
      <w:r w:rsidR="006C7D88">
        <w:rPr>
          <w:rFonts w:ascii="Arial" w:hAnsi="Arial" w:cs="Arial"/>
        </w:rPr>
        <w:t xml:space="preserve"> further and </w:t>
      </w:r>
      <w:r w:rsidR="00CD6F73">
        <w:rPr>
          <w:rFonts w:ascii="Arial" w:hAnsi="Arial" w:cs="Arial"/>
        </w:rPr>
        <w:t>this</w:t>
      </w:r>
      <w:r w:rsidR="006C7D88">
        <w:rPr>
          <w:rFonts w:ascii="Arial" w:hAnsi="Arial" w:cs="Arial"/>
        </w:rPr>
        <w:t xml:space="preserve"> expenditure </w:t>
      </w:r>
      <w:r w:rsidR="00CD6F73">
        <w:rPr>
          <w:rFonts w:ascii="Arial" w:hAnsi="Arial" w:cs="Arial"/>
        </w:rPr>
        <w:t>is therefore ‘lost’ or more work is required.</w:t>
      </w:r>
      <w:r w:rsidR="00F22814">
        <w:rPr>
          <w:rFonts w:ascii="Arial" w:hAnsi="Arial" w:cs="Arial"/>
        </w:rPr>
        <w:t xml:space="preserve">  </w:t>
      </w:r>
    </w:p>
    <w:p w14:paraId="0310C1B9" w14:textId="34E482B7" w:rsidR="00970812" w:rsidRDefault="00970812" w:rsidP="00DB7AE8">
      <w:pPr>
        <w:jc w:val="both"/>
        <w:rPr>
          <w:rFonts w:ascii="Arial" w:hAnsi="Arial" w:cs="Arial"/>
        </w:rPr>
      </w:pPr>
    </w:p>
    <w:p w14:paraId="3D777C47" w14:textId="3C254DAA" w:rsidR="00970812" w:rsidRPr="00DE7051" w:rsidRDefault="00970812" w:rsidP="00DB7AE8">
      <w:pPr>
        <w:jc w:val="both"/>
        <w:rPr>
          <w:rFonts w:ascii="Arial" w:hAnsi="Arial" w:cs="Arial"/>
        </w:rPr>
      </w:pPr>
      <w:r>
        <w:rPr>
          <w:rFonts w:ascii="Arial" w:hAnsi="Arial" w:cs="Arial"/>
        </w:rPr>
        <w:t xml:space="preserve">Further, whilst a number of potential sources of S106 monies have been identified </w:t>
      </w:r>
      <w:r w:rsidR="00423099">
        <w:rPr>
          <w:rFonts w:ascii="Arial" w:hAnsi="Arial" w:cs="Arial"/>
        </w:rPr>
        <w:t>(</w:t>
      </w:r>
      <w:r w:rsidR="00C05FBE">
        <w:rPr>
          <w:rFonts w:ascii="Arial" w:hAnsi="Arial" w:cs="Arial"/>
        </w:rPr>
        <w:t xml:space="preserve">see </w:t>
      </w:r>
      <w:r w:rsidR="00423099">
        <w:rPr>
          <w:rFonts w:ascii="Arial" w:hAnsi="Arial" w:cs="Arial"/>
        </w:rPr>
        <w:t xml:space="preserve">Appendix Two) </w:t>
      </w:r>
      <w:r>
        <w:rPr>
          <w:rFonts w:ascii="Arial" w:hAnsi="Arial" w:cs="Arial"/>
        </w:rPr>
        <w:t xml:space="preserve">which may be able to </w:t>
      </w:r>
      <w:r w:rsidR="00423099">
        <w:rPr>
          <w:rFonts w:ascii="Arial" w:hAnsi="Arial" w:cs="Arial"/>
        </w:rPr>
        <w:t xml:space="preserve">fund implementation, experience has shown </w:t>
      </w:r>
      <w:r w:rsidR="00356FA1">
        <w:rPr>
          <w:rFonts w:ascii="Arial" w:hAnsi="Arial" w:cs="Arial"/>
        </w:rPr>
        <w:t xml:space="preserve">that </w:t>
      </w:r>
      <w:r w:rsidR="00DE7051">
        <w:rPr>
          <w:rFonts w:ascii="Arial" w:hAnsi="Arial" w:cs="Arial"/>
        </w:rPr>
        <w:t xml:space="preserve">this is not as clear cut as it might seem.  Accordingly, LPC might wish to consider </w:t>
      </w:r>
      <w:r w:rsidR="00604BE7">
        <w:rPr>
          <w:rFonts w:ascii="Arial" w:hAnsi="Arial" w:cs="Arial"/>
        </w:rPr>
        <w:t>whether</w:t>
      </w:r>
      <w:r w:rsidR="00DE7051">
        <w:rPr>
          <w:rFonts w:ascii="Arial" w:hAnsi="Arial" w:cs="Arial"/>
        </w:rPr>
        <w:t xml:space="preserve"> it is prepared </w:t>
      </w:r>
      <w:r w:rsidR="00DE7051">
        <w:rPr>
          <w:rFonts w:ascii="Arial" w:hAnsi="Arial" w:cs="Arial"/>
          <w:i/>
          <w:iCs/>
        </w:rPr>
        <w:t>in extremis</w:t>
      </w:r>
      <w:r w:rsidR="00DE7051">
        <w:rPr>
          <w:rFonts w:ascii="Arial" w:hAnsi="Arial" w:cs="Arial"/>
        </w:rPr>
        <w:t xml:space="preserve"> to </w:t>
      </w:r>
      <w:r w:rsidR="00D62490">
        <w:rPr>
          <w:rFonts w:ascii="Arial" w:hAnsi="Arial" w:cs="Arial"/>
        </w:rPr>
        <w:t>fund the implementation phase (~£9,500)</w:t>
      </w:r>
      <w:r w:rsidR="00924F48">
        <w:rPr>
          <w:rFonts w:ascii="Arial" w:hAnsi="Arial" w:cs="Arial"/>
        </w:rPr>
        <w:t>.</w:t>
      </w:r>
    </w:p>
    <w:p w14:paraId="023AB9D0" w14:textId="21F719CF" w:rsidR="002C3374" w:rsidRDefault="002C3374" w:rsidP="00DB7AE8">
      <w:pPr>
        <w:jc w:val="both"/>
        <w:rPr>
          <w:rFonts w:ascii="Arial" w:hAnsi="Arial" w:cs="Arial"/>
        </w:rPr>
      </w:pPr>
    </w:p>
    <w:p w14:paraId="1FA5EB5A" w14:textId="209C9823" w:rsidR="002C3374" w:rsidRDefault="002C3374" w:rsidP="00DB7AE8">
      <w:pPr>
        <w:jc w:val="both"/>
        <w:rPr>
          <w:rFonts w:ascii="Arial" w:hAnsi="Arial" w:cs="Arial"/>
        </w:rPr>
      </w:pPr>
      <w:r>
        <w:rPr>
          <w:rFonts w:ascii="Arial" w:hAnsi="Arial" w:cs="Arial"/>
        </w:rPr>
        <w:t>For context, the Parish Office continues to receive communications from residents asking what has happened to the proposed TRO / when will it happen / how can the flow of HGVs be reduced</w:t>
      </w:r>
      <w:r w:rsidR="005C203A">
        <w:rPr>
          <w:rFonts w:ascii="Arial" w:hAnsi="Arial" w:cs="Arial"/>
        </w:rPr>
        <w:t xml:space="preserve"> etc</w:t>
      </w:r>
      <w:r>
        <w:rPr>
          <w:rFonts w:ascii="Arial" w:hAnsi="Arial" w:cs="Arial"/>
        </w:rPr>
        <w:t xml:space="preserve">.  </w:t>
      </w:r>
      <w:r w:rsidR="00C4381E">
        <w:rPr>
          <w:rFonts w:ascii="Arial" w:hAnsi="Arial" w:cs="Arial"/>
        </w:rPr>
        <w:t>I</w:t>
      </w:r>
      <w:r w:rsidR="005C203A">
        <w:rPr>
          <w:rFonts w:ascii="Arial" w:hAnsi="Arial" w:cs="Arial"/>
        </w:rPr>
        <w:t xml:space="preserve">t is </w:t>
      </w:r>
      <w:r w:rsidR="00C4381E">
        <w:rPr>
          <w:rFonts w:ascii="Arial" w:hAnsi="Arial" w:cs="Arial"/>
        </w:rPr>
        <w:t xml:space="preserve">therefore </w:t>
      </w:r>
      <w:r w:rsidR="005C203A">
        <w:rPr>
          <w:rFonts w:ascii="Arial" w:hAnsi="Arial" w:cs="Arial"/>
        </w:rPr>
        <w:t xml:space="preserve">clear that </w:t>
      </w:r>
      <w:r w:rsidR="00B96F51">
        <w:rPr>
          <w:rFonts w:ascii="Arial" w:hAnsi="Arial" w:cs="Arial"/>
        </w:rPr>
        <w:t xml:space="preserve">many </w:t>
      </w:r>
      <w:r w:rsidR="005C203A">
        <w:rPr>
          <w:rFonts w:ascii="Arial" w:hAnsi="Arial" w:cs="Arial"/>
        </w:rPr>
        <w:t xml:space="preserve">villagers </w:t>
      </w:r>
      <w:r w:rsidR="00121E69">
        <w:rPr>
          <w:rFonts w:ascii="Arial" w:hAnsi="Arial" w:cs="Arial"/>
        </w:rPr>
        <w:t xml:space="preserve">continue to </w:t>
      </w:r>
      <w:r w:rsidR="005C203A">
        <w:rPr>
          <w:rFonts w:ascii="Arial" w:hAnsi="Arial" w:cs="Arial"/>
        </w:rPr>
        <w:t>consider this to be an important issue</w:t>
      </w:r>
      <w:r w:rsidR="00121E69">
        <w:rPr>
          <w:rFonts w:ascii="Arial" w:hAnsi="Arial" w:cs="Arial"/>
        </w:rPr>
        <w:t xml:space="preserve"> to them</w:t>
      </w:r>
      <w:r w:rsidR="00A4199C">
        <w:rPr>
          <w:rFonts w:ascii="Arial" w:hAnsi="Arial" w:cs="Arial"/>
        </w:rPr>
        <w:t>.</w:t>
      </w:r>
    </w:p>
    <w:p w14:paraId="168E2F8D" w14:textId="77777777" w:rsidR="002C3374" w:rsidRDefault="002C3374" w:rsidP="00DB7AE8">
      <w:pPr>
        <w:jc w:val="both"/>
        <w:rPr>
          <w:rFonts w:ascii="Arial" w:hAnsi="Arial" w:cs="Arial"/>
        </w:rPr>
      </w:pPr>
    </w:p>
    <w:p w14:paraId="64ABDA0C" w14:textId="047F9BC5" w:rsidR="00F45233" w:rsidRPr="00F45233" w:rsidRDefault="00F45233" w:rsidP="00DB7AE8">
      <w:pPr>
        <w:jc w:val="both"/>
        <w:rPr>
          <w:rFonts w:ascii="Arial" w:hAnsi="Arial" w:cs="Arial"/>
          <w:b/>
          <w:bCs/>
        </w:rPr>
      </w:pPr>
      <w:r w:rsidRPr="00F45233">
        <w:rPr>
          <w:rFonts w:ascii="Arial" w:hAnsi="Arial" w:cs="Arial"/>
          <w:b/>
          <w:bCs/>
        </w:rPr>
        <w:t>Way Forward</w:t>
      </w:r>
    </w:p>
    <w:p w14:paraId="5A1E96ED" w14:textId="177832C7" w:rsidR="005679CB" w:rsidRDefault="00625176" w:rsidP="00154B59">
      <w:pPr>
        <w:jc w:val="both"/>
        <w:rPr>
          <w:rFonts w:ascii="Arial" w:hAnsi="Arial" w:cs="Arial"/>
        </w:rPr>
      </w:pPr>
      <w:r>
        <w:rPr>
          <w:rFonts w:ascii="Arial" w:hAnsi="Arial" w:cs="Arial"/>
        </w:rPr>
        <w:t>P&amp;TC</w:t>
      </w:r>
      <w:r w:rsidR="00827E9A">
        <w:rPr>
          <w:rFonts w:ascii="Arial" w:hAnsi="Arial" w:cs="Arial"/>
        </w:rPr>
        <w:t xml:space="preserve"> </w:t>
      </w:r>
      <w:r w:rsidR="002225F2">
        <w:rPr>
          <w:rFonts w:ascii="Arial" w:hAnsi="Arial" w:cs="Arial"/>
        </w:rPr>
        <w:t xml:space="preserve">should consider whether to </w:t>
      </w:r>
      <w:r>
        <w:rPr>
          <w:rFonts w:ascii="Arial" w:hAnsi="Arial" w:cs="Arial"/>
        </w:rPr>
        <w:t xml:space="preserve">recommend </w:t>
      </w:r>
      <w:r w:rsidR="002225F2">
        <w:rPr>
          <w:rFonts w:ascii="Arial" w:hAnsi="Arial" w:cs="Arial"/>
        </w:rPr>
        <w:t>fund</w:t>
      </w:r>
      <w:r>
        <w:rPr>
          <w:rFonts w:ascii="Arial" w:hAnsi="Arial" w:cs="Arial"/>
        </w:rPr>
        <w:t>ing</w:t>
      </w:r>
      <w:r w:rsidR="002225F2">
        <w:rPr>
          <w:rFonts w:ascii="Arial" w:hAnsi="Arial" w:cs="Arial"/>
        </w:rPr>
        <w:t xml:space="preserve"> the consultation phase and, concurrently, </w:t>
      </w:r>
      <w:r w:rsidR="008914BD">
        <w:rPr>
          <w:rFonts w:ascii="Arial" w:hAnsi="Arial" w:cs="Arial"/>
        </w:rPr>
        <w:t>discuss with CLC members their</w:t>
      </w:r>
      <w:r w:rsidR="00F65FBF">
        <w:rPr>
          <w:rFonts w:ascii="Arial" w:hAnsi="Arial" w:cs="Arial"/>
        </w:rPr>
        <w:t xml:space="preserve"> concerns and preferences during </w:t>
      </w:r>
      <w:r w:rsidR="003E4671">
        <w:rPr>
          <w:rFonts w:ascii="Arial" w:hAnsi="Arial" w:cs="Arial"/>
        </w:rPr>
        <w:t>this</w:t>
      </w:r>
      <w:r w:rsidR="00F65FBF">
        <w:rPr>
          <w:rFonts w:ascii="Arial" w:hAnsi="Arial" w:cs="Arial"/>
        </w:rPr>
        <w:t xml:space="preserve"> phase.</w:t>
      </w:r>
    </w:p>
    <w:p w14:paraId="519B7F81" w14:textId="50C95C47" w:rsidR="00D77A68" w:rsidRDefault="00D77A68" w:rsidP="00154B59">
      <w:pPr>
        <w:jc w:val="both"/>
        <w:rPr>
          <w:rFonts w:ascii="Arial" w:hAnsi="Arial" w:cs="Arial"/>
        </w:rPr>
      </w:pPr>
    </w:p>
    <w:p w14:paraId="12C87D46" w14:textId="4B1B7C1C" w:rsidR="00442C50" w:rsidRDefault="00442C50" w:rsidP="00442C50">
      <w:pPr>
        <w:jc w:val="both"/>
        <w:rPr>
          <w:rFonts w:ascii="Arial" w:hAnsi="Arial" w:cs="Arial"/>
        </w:rPr>
      </w:pPr>
      <w:r>
        <w:rPr>
          <w:rFonts w:ascii="Arial" w:hAnsi="Arial" w:cs="Arial"/>
        </w:rPr>
        <w:t xml:space="preserve">The Deputy Parish Clerk in conjunction with the Chair of Planning and Traffic Committee will liaise with WSCC Highways with a view to ensuring that the Consultation is carried out in line with WSCC’s requirements.  </w:t>
      </w:r>
      <w:r w:rsidR="00D31C7B">
        <w:rPr>
          <w:rFonts w:ascii="Arial" w:hAnsi="Arial" w:cs="Arial"/>
        </w:rPr>
        <w:t>Alongside this,</w:t>
      </w:r>
      <w:r>
        <w:rPr>
          <w:rFonts w:ascii="Arial" w:hAnsi="Arial" w:cs="Arial"/>
        </w:rPr>
        <w:t xml:space="preserve"> </w:t>
      </w:r>
      <w:r w:rsidR="00D31C7B">
        <w:rPr>
          <w:rFonts w:ascii="Arial" w:hAnsi="Arial" w:cs="Arial"/>
        </w:rPr>
        <w:t xml:space="preserve">further </w:t>
      </w:r>
      <w:r>
        <w:rPr>
          <w:rFonts w:ascii="Arial" w:hAnsi="Arial" w:cs="Arial"/>
        </w:rPr>
        <w:t xml:space="preserve">discussions will take place with both WSCC and MSDC to </w:t>
      </w:r>
      <w:r w:rsidR="003E4671">
        <w:rPr>
          <w:rFonts w:ascii="Arial" w:hAnsi="Arial" w:cs="Arial"/>
        </w:rPr>
        <w:t>p</w:t>
      </w:r>
      <w:r>
        <w:rPr>
          <w:rFonts w:ascii="Arial" w:hAnsi="Arial" w:cs="Arial"/>
        </w:rPr>
        <w:t>in down suitable funding.</w:t>
      </w:r>
    </w:p>
    <w:p w14:paraId="57E5F89E" w14:textId="2C7FA3A9" w:rsidR="00442C50" w:rsidRDefault="00442C50" w:rsidP="00154B59">
      <w:pPr>
        <w:jc w:val="both"/>
        <w:rPr>
          <w:rFonts w:ascii="Arial" w:hAnsi="Arial" w:cs="Arial"/>
        </w:rPr>
      </w:pPr>
    </w:p>
    <w:p w14:paraId="37B65134" w14:textId="04E092FD" w:rsidR="00442C50" w:rsidRDefault="00A67C00" w:rsidP="00154B59">
      <w:pPr>
        <w:jc w:val="both"/>
        <w:rPr>
          <w:rFonts w:ascii="Arial" w:hAnsi="Arial" w:cs="Arial"/>
        </w:rPr>
      </w:pPr>
      <w:r>
        <w:rPr>
          <w:rFonts w:ascii="Arial" w:hAnsi="Arial" w:cs="Arial"/>
        </w:rPr>
        <w:t xml:space="preserve">As no budget currently exists for this project, F&amp;GP and ultimately Council will need to be approached to </w:t>
      </w:r>
      <w:r w:rsidR="002E4396">
        <w:rPr>
          <w:rFonts w:ascii="Arial" w:hAnsi="Arial" w:cs="Arial"/>
        </w:rPr>
        <w:t>agree</w:t>
      </w:r>
      <w:r w:rsidR="00A0103F">
        <w:rPr>
          <w:rFonts w:ascii="Arial" w:hAnsi="Arial" w:cs="Arial"/>
        </w:rPr>
        <w:t xml:space="preserve"> how this could be supported; initial discussions indicate that t</w:t>
      </w:r>
      <w:r w:rsidR="00E84E99">
        <w:rPr>
          <w:rFonts w:ascii="Arial" w:hAnsi="Arial" w:cs="Arial"/>
        </w:rPr>
        <w:t>h</w:t>
      </w:r>
      <w:r w:rsidR="00A0103F">
        <w:rPr>
          <w:rFonts w:ascii="Arial" w:hAnsi="Arial" w:cs="Arial"/>
        </w:rPr>
        <w:t xml:space="preserve">ere may well be an underspend </w:t>
      </w:r>
      <w:r w:rsidR="00225A8F">
        <w:rPr>
          <w:rFonts w:ascii="Arial" w:hAnsi="Arial" w:cs="Arial"/>
        </w:rPr>
        <w:t xml:space="preserve">in other areas during this </w:t>
      </w:r>
      <w:r w:rsidR="00E84E99">
        <w:rPr>
          <w:rFonts w:ascii="Arial" w:hAnsi="Arial" w:cs="Arial"/>
        </w:rPr>
        <w:t>fin</w:t>
      </w:r>
      <w:r w:rsidR="00600E56">
        <w:rPr>
          <w:rFonts w:ascii="Arial" w:hAnsi="Arial" w:cs="Arial"/>
        </w:rPr>
        <w:t>an</w:t>
      </w:r>
      <w:r w:rsidR="00E84E99">
        <w:rPr>
          <w:rFonts w:ascii="Arial" w:hAnsi="Arial" w:cs="Arial"/>
        </w:rPr>
        <w:t>cial</w:t>
      </w:r>
      <w:r w:rsidR="00225A8F">
        <w:rPr>
          <w:rFonts w:ascii="Arial" w:hAnsi="Arial" w:cs="Arial"/>
        </w:rPr>
        <w:t xml:space="preserve"> year, reflecting the impact of Covid-19</w:t>
      </w:r>
      <w:r w:rsidR="00600E56">
        <w:rPr>
          <w:rFonts w:ascii="Arial" w:hAnsi="Arial" w:cs="Arial"/>
        </w:rPr>
        <w:t xml:space="preserve">.  </w:t>
      </w:r>
      <w:r w:rsidR="00255B78">
        <w:rPr>
          <w:rFonts w:ascii="Arial" w:hAnsi="Arial" w:cs="Arial"/>
        </w:rPr>
        <w:t>I</w:t>
      </w:r>
      <w:r w:rsidR="005A07A8">
        <w:rPr>
          <w:rFonts w:ascii="Arial" w:hAnsi="Arial" w:cs="Arial"/>
        </w:rPr>
        <w:t xml:space="preserve">f </w:t>
      </w:r>
      <w:r w:rsidR="008D4DBF">
        <w:rPr>
          <w:rFonts w:ascii="Arial" w:hAnsi="Arial" w:cs="Arial"/>
        </w:rPr>
        <w:t>necessary,</w:t>
      </w:r>
      <w:r w:rsidR="005A07A8">
        <w:rPr>
          <w:rFonts w:ascii="Arial" w:hAnsi="Arial" w:cs="Arial"/>
        </w:rPr>
        <w:t xml:space="preserve"> </w:t>
      </w:r>
      <w:r w:rsidR="00B64416">
        <w:rPr>
          <w:rFonts w:ascii="Arial" w:hAnsi="Arial" w:cs="Arial"/>
        </w:rPr>
        <w:t xml:space="preserve">consideration could be given to using </w:t>
      </w:r>
      <w:r w:rsidR="008D4DBF">
        <w:rPr>
          <w:rFonts w:ascii="Arial" w:hAnsi="Arial" w:cs="Arial"/>
        </w:rPr>
        <w:t xml:space="preserve">other reserves </w:t>
      </w:r>
      <w:r w:rsidR="005A07A8">
        <w:rPr>
          <w:rFonts w:ascii="Arial" w:hAnsi="Arial" w:cs="Arial"/>
        </w:rPr>
        <w:t xml:space="preserve">to </w:t>
      </w:r>
      <w:r w:rsidR="00B558AA">
        <w:rPr>
          <w:rFonts w:ascii="Arial" w:hAnsi="Arial" w:cs="Arial"/>
        </w:rPr>
        <w:t xml:space="preserve">allow </w:t>
      </w:r>
      <w:r w:rsidR="00255B78">
        <w:rPr>
          <w:rFonts w:ascii="Arial" w:hAnsi="Arial" w:cs="Arial"/>
        </w:rPr>
        <w:t>imp</w:t>
      </w:r>
      <w:r w:rsidR="00D16855">
        <w:rPr>
          <w:rFonts w:ascii="Arial" w:hAnsi="Arial" w:cs="Arial"/>
        </w:rPr>
        <w:t>le</w:t>
      </w:r>
      <w:r w:rsidR="00B64416">
        <w:rPr>
          <w:rFonts w:ascii="Arial" w:hAnsi="Arial" w:cs="Arial"/>
        </w:rPr>
        <w:t xml:space="preserve">mentation, recognising also </w:t>
      </w:r>
      <w:r w:rsidR="00255B78">
        <w:rPr>
          <w:rFonts w:ascii="Arial" w:hAnsi="Arial" w:cs="Arial"/>
        </w:rPr>
        <w:t>the evident interest in this project by many villagers,</w:t>
      </w:r>
    </w:p>
    <w:p w14:paraId="46F07BC1" w14:textId="77777777" w:rsidR="00442C50" w:rsidRPr="00E65CEF" w:rsidRDefault="00442C50" w:rsidP="00154B59">
      <w:pPr>
        <w:jc w:val="both"/>
        <w:rPr>
          <w:rFonts w:ascii="Arial" w:hAnsi="Arial" w:cs="Arial"/>
        </w:rPr>
      </w:pPr>
    </w:p>
    <w:p w14:paraId="370F2D98" w14:textId="77777777" w:rsidR="009C554A" w:rsidRPr="000E2A8C" w:rsidRDefault="006324B0" w:rsidP="009C554A">
      <w:pPr>
        <w:rPr>
          <w:rFonts w:ascii="Arial" w:hAnsi="Arial" w:cs="Arial"/>
        </w:rPr>
      </w:pPr>
      <w:r w:rsidRPr="000E2A8C">
        <w:rPr>
          <w:rFonts w:ascii="Arial" w:hAnsi="Arial" w:cs="Arial"/>
          <w:b/>
        </w:rPr>
        <w:t xml:space="preserve">Recommended </w:t>
      </w:r>
      <w:r w:rsidR="009C554A" w:rsidRPr="000E2A8C">
        <w:rPr>
          <w:rFonts w:ascii="Arial" w:hAnsi="Arial" w:cs="Arial"/>
          <w:b/>
        </w:rPr>
        <w:t>Action</w:t>
      </w:r>
    </w:p>
    <w:p w14:paraId="3AEB2871" w14:textId="6C8B013C" w:rsidR="0034306E" w:rsidRDefault="00847C5D" w:rsidP="006324B0">
      <w:pPr>
        <w:pStyle w:val="ListParagraph"/>
        <w:numPr>
          <w:ilvl w:val="0"/>
          <w:numId w:val="7"/>
        </w:numPr>
        <w:rPr>
          <w:rFonts w:ascii="Arial" w:hAnsi="Arial" w:cs="Arial"/>
        </w:rPr>
      </w:pPr>
      <w:r>
        <w:rPr>
          <w:rFonts w:ascii="Arial" w:hAnsi="Arial" w:cs="Arial"/>
        </w:rPr>
        <w:t xml:space="preserve">Agree whether to go ahead with </w:t>
      </w:r>
      <w:r w:rsidR="00B93CDA">
        <w:rPr>
          <w:rFonts w:ascii="Arial" w:hAnsi="Arial" w:cs="Arial"/>
        </w:rPr>
        <w:t>consultation</w:t>
      </w:r>
      <w:r w:rsidR="00D16855">
        <w:rPr>
          <w:rFonts w:ascii="Arial" w:hAnsi="Arial" w:cs="Arial"/>
        </w:rPr>
        <w:t xml:space="preserve"> and recommend funding subject to agreement by F&amp;GP / Council</w:t>
      </w:r>
    </w:p>
    <w:p w14:paraId="6CA0610E" w14:textId="157152DB" w:rsidR="00B93CDA" w:rsidRDefault="00B93CDA" w:rsidP="006324B0">
      <w:pPr>
        <w:pStyle w:val="ListParagraph"/>
        <w:numPr>
          <w:ilvl w:val="0"/>
          <w:numId w:val="7"/>
        </w:numPr>
        <w:rPr>
          <w:rFonts w:ascii="Arial" w:hAnsi="Arial" w:cs="Arial"/>
        </w:rPr>
      </w:pPr>
      <w:r>
        <w:rPr>
          <w:rFonts w:ascii="Arial" w:hAnsi="Arial" w:cs="Arial"/>
        </w:rPr>
        <w:t>Councillors to undertake appropriate liaison with CLC members</w:t>
      </w:r>
    </w:p>
    <w:p w14:paraId="09249286" w14:textId="783E04BF" w:rsidR="00847C5D" w:rsidRPr="000E2A8C" w:rsidRDefault="00B93CDA" w:rsidP="006324B0">
      <w:pPr>
        <w:pStyle w:val="ListParagraph"/>
        <w:numPr>
          <w:ilvl w:val="0"/>
          <w:numId w:val="7"/>
        </w:numPr>
        <w:rPr>
          <w:rFonts w:ascii="Arial" w:hAnsi="Arial" w:cs="Arial"/>
        </w:rPr>
      </w:pPr>
      <w:r>
        <w:rPr>
          <w:rFonts w:ascii="Arial" w:hAnsi="Arial" w:cs="Arial"/>
        </w:rPr>
        <w:t xml:space="preserve">Consider </w:t>
      </w:r>
      <w:r w:rsidR="007B6067">
        <w:rPr>
          <w:rFonts w:ascii="Arial" w:hAnsi="Arial" w:cs="Arial"/>
        </w:rPr>
        <w:t xml:space="preserve">wider </w:t>
      </w:r>
      <w:r>
        <w:rPr>
          <w:rFonts w:ascii="Arial" w:hAnsi="Arial" w:cs="Arial"/>
        </w:rPr>
        <w:t>funding issues</w:t>
      </w:r>
      <w:r w:rsidR="007912F0">
        <w:rPr>
          <w:rFonts w:ascii="Arial" w:hAnsi="Arial" w:cs="Arial"/>
        </w:rPr>
        <w:t xml:space="preserve"> </w:t>
      </w:r>
      <w:r w:rsidR="00D16855">
        <w:rPr>
          <w:rFonts w:ascii="Arial" w:hAnsi="Arial" w:cs="Arial"/>
        </w:rPr>
        <w:t xml:space="preserve">and sources </w:t>
      </w:r>
      <w:r w:rsidR="007912F0">
        <w:rPr>
          <w:rFonts w:ascii="Arial" w:hAnsi="Arial" w:cs="Arial"/>
        </w:rPr>
        <w:t>for the overall project.</w:t>
      </w:r>
    </w:p>
    <w:p w14:paraId="7902883F" w14:textId="5AFB9D65" w:rsidR="009C554A" w:rsidRDefault="009C554A" w:rsidP="009C554A">
      <w:pPr>
        <w:rPr>
          <w:rFonts w:ascii="Arial" w:hAnsi="Arial" w:cs="Arial"/>
        </w:rPr>
      </w:pPr>
    </w:p>
    <w:p w14:paraId="01D20529" w14:textId="711CB030" w:rsidR="00D16855" w:rsidRDefault="00D16855" w:rsidP="009C554A">
      <w:pPr>
        <w:rPr>
          <w:rFonts w:ascii="Arial" w:hAnsi="Arial" w:cs="Arial"/>
        </w:rPr>
      </w:pPr>
    </w:p>
    <w:p w14:paraId="74A0076A" w14:textId="77777777" w:rsidR="00D16855" w:rsidRPr="000E2A8C" w:rsidRDefault="00D16855" w:rsidP="009C554A">
      <w:pPr>
        <w:rPr>
          <w:rFonts w:ascii="Arial" w:hAnsi="Arial" w:cs="Arial"/>
        </w:rPr>
      </w:pPr>
    </w:p>
    <w:p w14:paraId="573CB2A9" w14:textId="77777777" w:rsidR="006324B0" w:rsidRPr="000E2A8C" w:rsidRDefault="006324B0" w:rsidP="009C554A">
      <w:pPr>
        <w:rPr>
          <w:rFonts w:ascii="Arial" w:hAnsi="Arial" w:cs="Arial"/>
          <w:b/>
        </w:rPr>
      </w:pPr>
      <w:r w:rsidRPr="000E2A8C">
        <w:rPr>
          <w:rFonts w:ascii="Arial" w:hAnsi="Arial" w:cs="Arial"/>
          <w:b/>
        </w:rPr>
        <w:t>David Parsons</w:t>
      </w:r>
    </w:p>
    <w:p w14:paraId="715DA8AF" w14:textId="1FD7E58F" w:rsidR="00022125" w:rsidRDefault="006324B0" w:rsidP="009C554A">
      <w:pPr>
        <w:rPr>
          <w:rFonts w:ascii="Arial" w:hAnsi="Arial" w:cs="Arial"/>
          <w:b/>
        </w:rPr>
      </w:pPr>
      <w:r w:rsidRPr="000E2A8C">
        <w:rPr>
          <w:rFonts w:ascii="Arial" w:hAnsi="Arial" w:cs="Arial"/>
          <w:b/>
        </w:rPr>
        <w:t>Deputy Parish Clerk</w:t>
      </w:r>
    </w:p>
    <w:p w14:paraId="388E6EE6" w14:textId="4B414020" w:rsidR="002668EC" w:rsidRDefault="002668EC" w:rsidP="009C554A">
      <w:pPr>
        <w:rPr>
          <w:rFonts w:ascii="Arial" w:hAnsi="Arial" w:cs="Arial"/>
          <w:b/>
        </w:rPr>
      </w:pPr>
    </w:p>
    <w:p w14:paraId="19E2AE27" w14:textId="283FD0A2" w:rsidR="002668EC" w:rsidRDefault="002668EC" w:rsidP="009C554A">
      <w:pPr>
        <w:rPr>
          <w:rFonts w:ascii="Arial" w:hAnsi="Arial" w:cs="Arial"/>
          <w:b/>
        </w:rPr>
      </w:pPr>
    </w:p>
    <w:p w14:paraId="51396F4B" w14:textId="77777777" w:rsidR="005B3436" w:rsidRDefault="005B3436" w:rsidP="009C554A">
      <w:pPr>
        <w:rPr>
          <w:rFonts w:ascii="Arial" w:hAnsi="Arial" w:cs="Arial"/>
          <w:b/>
        </w:rPr>
        <w:sectPr w:rsidR="005B3436" w:rsidSect="00262335">
          <w:headerReference w:type="default" r:id="rId10"/>
          <w:footerReference w:type="default" r:id="rId11"/>
          <w:pgSz w:w="11906" w:h="16838"/>
          <w:pgMar w:top="1440" w:right="1440" w:bottom="1440" w:left="1440" w:header="708" w:footer="708" w:gutter="0"/>
          <w:cols w:space="708"/>
          <w:docGrid w:linePitch="360"/>
        </w:sectPr>
      </w:pPr>
    </w:p>
    <w:p w14:paraId="48F43B14" w14:textId="77777777" w:rsidR="00944923" w:rsidRDefault="00944923" w:rsidP="00944923">
      <w:pPr>
        <w:rPr>
          <w:rFonts w:ascii="Arial" w:hAnsi="Arial" w:cs="Arial"/>
        </w:rPr>
      </w:pPr>
    </w:p>
    <w:p w14:paraId="5C8B4C4D" w14:textId="77777777" w:rsidR="00944923" w:rsidRPr="000D7CC4" w:rsidRDefault="00944923" w:rsidP="00944923">
      <w:pPr>
        <w:rPr>
          <w:rFonts w:ascii="Arial" w:hAnsi="Arial" w:cs="Arial"/>
          <w:b/>
          <w:bCs/>
        </w:rPr>
      </w:pPr>
      <w:r>
        <w:rPr>
          <w:rFonts w:ascii="Arial" w:hAnsi="Arial" w:cs="Arial"/>
          <w:b/>
          <w:bCs/>
        </w:rPr>
        <w:t>Proposed Lewes Road TRO – next steps</w:t>
      </w:r>
    </w:p>
    <w:p w14:paraId="45F842F3" w14:textId="77777777" w:rsidR="00944923" w:rsidRDefault="00944923" w:rsidP="00944923">
      <w:pPr>
        <w:jc w:val="both"/>
        <w:rPr>
          <w:rFonts w:ascii="Arial" w:hAnsi="Arial" w:cs="Arial"/>
        </w:rPr>
      </w:pPr>
    </w:p>
    <w:p w14:paraId="441C2668" w14:textId="77777777" w:rsidR="00944923" w:rsidRDefault="00944923" w:rsidP="00944923">
      <w:pPr>
        <w:jc w:val="both"/>
        <w:rPr>
          <w:rFonts w:ascii="Arial" w:hAnsi="Arial" w:cs="Arial"/>
        </w:rPr>
      </w:pPr>
    </w:p>
    <w:p w14:paraId="06FA2CC4" w14:textId="697C746F" w:rsidR="00944923" w:rsidRPr="005C491D" w:rsidRDefault="00944923" w:rsidP="00944923">
      <w:pPr>
        <w:pStyle w:val="ListParagraph"/>
        <w:numPr>
          <w:ilvl w:val="0"/>
          <w:numId w:val="10"/>
        </w:numPr>
        <w:spacing w:line="276" w:lineRule="auto"/>
        <w:jc w:val="both"/>
        <w:rPr>
          <w:rFonts w:ascii="Arial" w:hAnsi="Arial" w:cs="Arial"/>
        </w:rPr>
      </w:pPr>
      <w:r>
        <w:rPr>
          <w:rFonts w:ascii="Arial" w:hAnsi="Arial" w:cs="Arial"/>
          <w:b/>
          <w:bCs/>
        </w:rPr>
        <w:t>Funding</w:t>
      </w:r>
      <w:r>
        <w:rPr>
          <w:rFonts w:ascii="Arial" w:hAnsi="Arial" w:cs="Arial"/>
        </w:rPr>
        <w:t xml:space="preserve"> identify the source of funding</w:t>
      </w:r>
      <w:r w:rsidR="009428EE">
        <w:rPr>
          <w:rFonts w:ascii="Arial" w:hAnsi="Arial" w:cs="Arial"/>
        </w:rPr>
        <w:t>.</w:t>
      </w:r>
    </w:p>
    <w:p w14:paraId="36B25A05" w14:textId="77777777" w:rsidR="00944923" w:rsidRDefault="00944923" w:rsidP="00944923">
      <w:pPr>
        <w:jc w:val="both"/>
        <w:rPr>
          <w:rFonts w:ascii="Arial" w:hAnsi="Arial" w:cs="Arial"/>
        </w:rPr>
      </w:pPr>
    </w:p>
    <w:p w14:paraId="733450BF" w14:textId="77777777" w:rsidR="00944923" w:rsidRPr="0036331A" w:rsidRDefault="00944923" w:rsidP="00944923">
      <w:pPr>
        <w:pStyle w:val="ListParagraph"/>
        <w:numPr>
          <w:ilvl w:val="0"/>
          <w:numId w:val="10"/>
        </w:numPr>
        <w:spacing w:line="276" w:lineRule="auto"/>
        <w:jc w:val="both"/>
        <w:rPr>
          <w:rFonts w:ascii="Arial" w:hAnsi="Arial" w:cs="Arial"/>
          <w:b/>
          <w:bCs/>
        </w:rPr>
      </w:pPr>
      <w:r>
        <w:rPr>
          <w:rFonts w:ascii="Arial" w:hAnsi="Arial" w:cs="Arial"/>
          <w:b/>
          <w:bCs/>
        </w:rPr>
        <w:t>Informal Consultation</w:t>
      </w:r>
      <w:r>
        <w:rPr>
          <w:rFonts w:ascii="Arial" w:hAnsi="Arial" w:cs="Arial"/>
        </w:rPr>
        <w:t xml:space="preserve"> to finesse out any showstoppers</w:t>
      </w:r>
    </w:p>
    <w:p w14:paraId="390AB4E9" w14:textId="77777777" w:rsidR="00944923" w:rsidRDefault="00944923" w:rsidP="00944923">
      <w:pPr>
        <w:pStyle w:val="ListParagraph"/>
        <w:numPr>
          <w:ilvl w:val="1"/>
          <w:numId w:val="10"/>
        </w:numPr>
        <w:spacing w:line="276" w:lineRule="auto"/>
        <w:ind w:left="709"/>
        <w:jc w:val="both"/>
        <w:rPr>
          <w:rFonts w:ascii="Arial" w:hAnsi="Arial" w:cs="Arial"/>
        </w:rPr>
      </w:pPr>
      <w:r>
        <w:rPr>
          <w:rFonts w:ascii="Arial" w:hAnsi="Arial" w:cs="Arial"/>
        </w:rPr>
        <w:t>RS advised that an appropriate Traffic Consultant should be engaged to undertake this (‘The Project Centre’ was mentioned as a possible candidate – RS would provide details)</w:t>
      </w:r>
    </w:p>
    <w:p w14:paraId="6ACB1C7E" w14:textId="77777777" w:rsidR="00944923" w:rsidRDefault="00944923" w:rsidP="00944923">
      <w:pPr>
        <w:pStyle w:val="ListParagraph"/>
        <w:numPr>
          <w:ilvl w:val="1"/>
          <w:numId w:val="10"/>
        </w:numPr>
        <w:spacing w:line="276" w:lineRule="auto"/>
        <w:ind w:left="709"/>
        <w:jc w:val="both"/>
        <w:rPr>
          <w:rFonts w:ascii="Arial" w:hAnsi="Arial" w:cs="Arial"/>
        </w:rPr>
      </w:pPr>
      <w:r>
        <w:rPr>
          <w:rFonts w:ascii="Arial" w:hAnsi="Arial" w:cs="Arial"/>
        </w:rPr>
        <w:t xml:space="preserve">Accordingly, it would be important as well as selling the benefits of the scheme at the Lewes road / High Street junction, that the consultation clearly sold the routing as being following A roads, to minimise concerns from residents in potentially affected roads (e.g. </w:t>
      </w:r>
      <w:proofErr w:type="spellStart"/>
      <w:r>
        <w:rPr>
          <w:rFonts w:ascii="Arial" w:hAnsi="Arial" w:cs="Arial"/>
        </w:rPr>
        <w:t>Gravelye</w:t>
      </w:r>
      <w:proofErr w:type="spellEnd"/>
      <w:r>
        <w:rPr>
          <w:rFonts w:ascii="Arial" w:hAnsi="Arial" w:cs="Arial"/>
        </w:rPr>
        <w:t xml:space="preserve"> Lane, if vehicles had left the A272 etc)</w:t>
      </w:r>
    </w:p>
    <w:p w14:paraId="0D11036A" w14:textId="77777777" w:rsidR="00944923" w:rsidRPr="00FE792D" w:rsidRDefault="00944923" w:rsidP="00944923">
      <w:pPr>
        <w:jc w:val="both"/>
        <w:rPr>
          <w:rFonts w:ascii="Arial" w:hAnsi="Arial" w:cs="Arial"/>
        </w:rPr>
      </w:pPr>
    </w:p>
    <w:p w14:paraId="60BCB3E0" w14:textId="77777777" w:rsidR="00944923" w:rsidRPr="00DB3C33" w:rsidRDefault="00944923" w:rsidP="00944923">
      <w:pPr>
        <w:pStyle w:val="ListParagraph"/>
        <w:numPr>
          <w:ilvl w:val="0"/>
          <w:numId w:val="10"/>
        </w:numPr>
        <w:spacing w:line="276" w:lineRule="auto"/>
        <w:jc w:val="both"/>
        <w:rPr>
          <w:rFonts w:ascii="Arial" w:hAnsi="Arial" w:cs="Arial"/>
          <w:b/>
          <w:bCs/>
        </w:rPr>
      </w:pPr>
      <w:r>
        <w:rPr>
          <w:rFonts w:ascii="Arial" w:hAnsi="Arial" w:cs="Arial"/>
        </w:rPr>
        <w:t xml:space="preserve">A </w:t>
      </w:r>
      <w:r w:rsidRPr="00D86B56">
        <w:rPr>
          <w:rFonts w:ascii="Arial" w:hAnsi="Arial" w:cs="Arial"/>
          <w:b/>
          <w:bCs/>
        </w:rPr>
        <w:t>formal application</w:t>
      </w:r>
      <w:r>
        <w:rPr>
          <w:rFonts w:ascii="Arial" w:hAnsi="Arial" w:cs="Arial"/>
        </w:rPr>
        <w:t xml:space="preserve"> would then need to be advertised in the local papers, street notices, gazette etc.  Once advertised, the proposal cannot be changed (a new application would be needed), hence the importance of the informal Consultation and need to address concerns raised.</w:t>
      </w:r>
    </w:p>
    <w:p w14:paraId="424D8552" w14:textId="77777777" w:rsidR="00944923" w:rsidRDefault="00944923" w:rsidP="00944923">
      <w:pPr>
        <w:pStyle w:val="ListParagraph"/>
        <w:numPr>
          <w:ilvl w:val="1"/>
          <w:numId w:val="10"/>
        </w:numPr>
        <w:spacing w:line="276" w:lineRule="auto"/>
        <w:ind w:left="709"/>
        <w:jc w:val="both"/>
        <w:rPr>
          <w:rFonts w:ascii="Arial" w:hAnsi="Arial" w:cs="Arial"/>
        </w:rPr>
      </w:pPr>
      <w:r>
        <w:rPr>
          <w:rFonts w:ascii="Arial" w:hAnsi="Arial" w:cs="Arial"/>
        </w:rPr>
        <w:t>The Police and other emergency services, haulage cos, DPD type delivery business would be consulted at this stage</w:t>
      </w:r>
    </w:p>
    <w:p w14:paraId="330078AD" w14:textId="77777777" w:rsidR="00944923" w:rsidRPr="00FE792D" w:rsidRDefault="00944923" w:rsidP="00944923">
      <w:pPr>
        <w:jc w:val="both"/>
        <w:rPr>
          <w:rFonts w:ascii="Arial" w:hAnsi="Arial" w:cs="Arial"/>
        </w:rPr>
      </w:pPr>
    </w:p>
    <w:p w14:paraId="34224F2D" w14:textId="77777777" w:rsidR="00944923" w:rsidRPr="00F5679F" w:rsidRDefault="00944923" w:rsidP="00944923">
      <w:pPr>
        <w:pStyle w:val="ListParagraph"/>
        <w:numPr>
          <w:ilvl w:val="0"/>
          <w:numId w:val="10"/>
        </w:numPr>
        <w:spacing w:line="276" w:lineRule="auto"/>
        <w:jc w:val="both"/>
        <w:rPr>
          <w:rFonts w:ascii="Arial" w:hAnsi="Arial" w:cs="Arial"/>
          <w:b/>
          <w:bCs/>
        </w:rPr>
      </w:pPr>
      <w:r>
        <w:rPr>
          <w:rFonts w:ascii="Arial" w:hAnsi="Arial" w:cs="Arial"/>
          <w:b/>
          <w:bCs/>
        </w:rPr>
        <w:t>Central &amp; Southern CLC</w:t>
      </w:r>
      <w:r>
        <w:rPr>
          <w:rFonts w:ascii="Arial" w:hAnsi="Arial" w:cs="Arial"/>
        </w:rPr>
        <w:t xml:space="preserve"> would consider the application in the light of the feedback following the formal application.  If there were more than 5 objections the CLC might not approve the proposal.</w:t>
      </w:r>
    </w:p>
    <w:p w14:paraId="23445262" w14:textId="77777777" w:rsidR="00944923" w:rsidRDefault="00944923" w:rsidP="00944923">
      <w:pPr>
        <w:pStyle w:val="ListParagraph"/>
        <w:numPr>
          <w:ilvl w:val="1"/>
          <w:numId w:val="10"/>
        </w:numPr>
        <w:spacing w:line="276" w:lineRule="auto"/>
        <w:ind w:left="709"/>
        <w:jc w:val="both"/>
        <w:rPr>
          <w:rFonts w:ascii="Arial" w:hAnsi="Arial" w:cs="Arial"/>
        </w:rPr>
      </w:pPr>
      <w:r>
        <w:rPr>
          <w:rFonts w:ascii="Arial" w:hAnsi="Arial" w:cs="Arial"/>
        </w:rPr>
        <w:t>Consideration should be given to engaging with members of the CLC during the earlier stages to gauge their concerns, seek their advice etc</w:t>
      </w:r>
    </w:p>
    <w:p w14:paraId="0F1935B3" w14:textId="77777777" w:rsidR="00944923" w:rsidRDefault="00944923" w:rsidP="00944923">
      <w:pPr>
        <w:jc w:val="both"/>
        <w:rPr>
          <w:rFonts w:ascii="Arial" w:hAnsi="Arial" w:cs="Arial"/>
        </w:rPr>
      </w:pPr>
    </w:p>
    <w:p w14:paraId="552DBB10" w14:textId="77777777" w:rsidR="00944923" w:rsidRPr="0049604D" w:rsidRDefault="00944923" w:rsidP="00944923">
      <w:pPr>
        <w:pStyle w:val="ListParagraph"/>
        <w:numPr>
          <w:ilvl w:val="0"/>
          <w:numId w:val="10"/>
        </w:numPr>
        <w:spacing w:line="276" w:lineRule="auto"/>
        <w:jc w:val="both"/>
        <w:rPr>
          <w:rFonts w:ascii="Arial" w:hAnsi="Arial" w:cs="Arial"/>
          <w:b/>
          <w:bCs/>
        </w:rPr>
      </w:pPr>
      <w:r>
        <w:rPr>
          <w:rFonts w:ascii="Arial" w:hAnsi="Arial" w:cs="Arial"/>
          <w:b/>
          <w:bCs/>
        </w:rPr>
        <w:t xml:space="preserve">Legal Order </w:t>
      </w:r>
      <w:r>
        <w:rPr>
          <w:rFonts w:ascii="Arial" w:hAnsi="Arial" w:cs="Arial"/>
        </w:rPr>
        <w:t>– with the consultants help a legal order would then be prepared and the works costed (budget ~£2k for signs/posts/contractors)</w:t>
      </w:r>
    </w:p>
    <w:p w14:paraId="566E4701" w14:textId="77777777" w:rsidR="00944923" w:rsidRPr="0049604D" w:rsidRDefault="00944923" w:rsidP="00944923">
      <w:pPr>
        <w:jc w:val="both"/>
        <w:rPr>
          <w:rFonts w:ascii="Arial" w:hAnsi="Arial" w:cs="Arial"/>
        </w:rPr>
      </w:pPr>
    </w:p>
    <w:p w14:paraId="5FA6C44F" w14:textId="77777777" w:rsidR="00944923" w:rsidRPr="00F77472" w:rsidRDefault="00944923" w:rsidP="00944923">
      <w:pPr>
        <w:pStyle w:val="ListParagraph"/>
        <w:numPr>
          <w:ilvl w:val="0"/>
          <w:numId w:val="10"/>
        </w:numPr>
        <w:spacing w:line="276" w:lineRule="auto"/>
        <w:jc w:val="both"/>
        <w:rPr>
          <w:rFonts w:ascii="Arial" w:hAnsi="Arial" w:cs="Arial"/>
          <w:b/>
          <w:bCs/>
        </w:rPr>
      </w:pPr>
      <w:r>
        <w:rPr>
          <w:rFonts w:ascii="Arial" w:hAnsi="Arial" w:cs="Arial"/>
          <w:b/>
          <w:bCs/>
        </w:rPr>
        <w:t>WSCC Highways Legal</w:t>
      </w:r>
      <w:r>
        <w:rPr>
          <w:rFonts w:ascii="Arial" w:hAnsi="Arial" w:cs="Arial"/>
        </w:rPr>
        <w:t xml:space="preserve"> would undertake the formal advertising of the order and the press advice etc.  This is understood to cost £7,500.</w:t>
      </w:r>
    </w:p>
    <w:p w14:paraId="1BC5E777" w14:textId="77777777" w:rsidR="00944923" w:rsidRPr="00F77472" w:rsidRDefault="00944923" w:rsidP="00944923">
      <w:pPr>
        <w:jc w:val="both"/>
        <w:rPr>
          <w:rFonts w:ascii="Arial" w:hAnsi="Arial" w:cs="Arial"/>
        </w:rPr>
      </w:pPr>
    </w:p>
    <w:p w14:paraId="124D6EC4" w14:textId="77777777" w:rsidR="00944923" w:rsidRPr="00F77472" w:rsidRDefault="00944923" w:rsidP="00944923">
      <w:pPr>
        <w:pStyle w:val="ListParagraph"/>
        <w:numPr>
          <w:ilvl w:val="0"/>
          <w:numId w:val="10"/>
        </w:numPr>
        <w:spacing w:line="276" w:lineRule="auto"/>
        <w:jc w:val="both"/>
        <w:rPr>
          <w:rFonts w:ascii="Arial" w:hAnsi="Arial" w:cs="Arial"/>
          <w:b/>
          <w:bCs/>
        </w:rPr>
      </w:pPr>
      <w:r>
        <w:rPr>
          <w:rFonts w:ascii="Arial" w:hAnsi="Arial" w:cs="Arial"/>
          <w:b/>
          <w:bCs/>
        </w:rPr>
        <w:t>Implementation</w:t>
      </w:r>
    </w:p>
    <w:p w14:paraId="3F9F00F6" w14:textId="77777777" w:rsidR="00944923" w:rsidRPr="00795CAD" w:rsidRDefault="00944923" w:rsidP="00944923">
      <w:pPr>
        <w:jc w:val="both"/>
        <w:rPr>
          <w:rFonts w:ascii="Arial" w:hAnsi="Arial" w:cs="Arial"/>
        </w:rPr>
      </w:pPr>
    </w:p>
    <w:p w14:paraId="51F4BA34" w14:textId="77777777" w:rsidR="00944923" w:rsidRDefault="00944923" w:rsidP="00944923">
      <w:pPr>
        <w:jc w:val="both"/>
        <w:rPr>
          <w:rFonts w:ascii="Arial" w:hAnsi="Arial" w:cs="Arial"/>
        </w:rPr>
      </w:pPr>
      <w:r>
        <w:rPr>
          <w:rFonts w:ascii="Arial" w:hAnsi="Arial" w:cs="Arial"/>
        </w:rPr>
        <w:t>RS advised that WSCC Highways won’t stand in the way of this proposal, but it will of course have to pass the process detailed above.</w:t>
      </w:r>
    </w:p>
    <w:p w14:paraId="349838C1" w14:textId="77777777" w:rsidR="00944923" w:rsidRDefault="00944923" w:rsidP="00944923">
      <w:pPr>
        <w:jc w:val="both"/>
        <w:rPr>
          <w:rFonts w:ascii="Arial" w:hAnsi="Arial" w:cs="Arial"/>
        </w:rPr>
      </w:pPr>
    </w:p>
    <w:p w14:paraId="629239AD" w14:textId="1EBB897A" w:rsidR="002668EC" w:rsidRDefault="002668EC" w:rsidP="009C554A">
      <w:pPr>
        <w:rPr>
          <w:rFonts w:ascii="Arial" w:hAnsi="Arial" w:cs="Arial"/>
          <w:b/>
        </w:rPr>
      </w:pPr>
    </w:p>
    <w:p w14:paraId="3DC8CCF9" w14:textId="77777777" w:rsidR="002668EC" w:rsidRDefault="002668EC" w:rsidP="009C554A">
      <w:pPr>
        <w:rPr>
          <w:rFonts w:ascii="Arial" w:hAnsi="Arial" w:cs="Arial"/>
          <w:b/>
        </w:rPr>
      </w:pPr>
    </w:p>
    <w:p w14:paraId="4C431C98" w14:textId="77777777" w:rsidR="00E23427" w:rsidRDefault="00E23427" w:rsidP="009C554A">
      <w:pPr>
        <w:rPr>
          <w:rFonts w:ascii="Arial" w:hAnsi="Arial" w:cs="Arial"/>
          <w:b/>
        </w:rPr>
        <w:sectPr w:rsidR="00E23427" w:rsidSect="00262335">
          <w:headerReference w:type="default" r:id="rId12"/>
          <w:pgSz w:w="11906" w:h="16838"/>
          <w:pgMar w:top="1440" w:right="1440" w:bottom="1440" w:left="1440" w:header="708" w:footer="708" w:gutter="0"/>
          <w:cols w:space="708"/>
          <w:docGrid w:linePitch="360"/>
        </w:sectPr>
      </w:pPr>
    </w:p>
    <w:p w14:paraId="4F0533FF" w14:textId="77777777" w:rsidR="00976650" w:rsidRDefault="00976650" w:rsidP="009C554A">
      <w:pPr>
        <w:rPr>
          <w:rFonts w:ascii="Arial" w:hAnsi="Arial" w:cs="Arial"/>
          <w:b/>
        </w:rPr>
      </w:pPr>
    </w:p>
    <w:tbl>
      <w:tblPr>
        <w:tblStyle w:val="TableGrid"/>
        <w:tblW w:w="14890" w:type="dxa"/>
        <w:tblInd w:w="-1139" w:type="dxa"/>
        <w:tblLook w:val="04A0" w:firstRow="1" w:lastRow="0" w:firstColumn="1" w:lastColumn="0" w:noHBand="0" w:noVBand="1"/>
      </w:tblPr>
      <w:tblGrid>
        <w:gridCol w:w="350"/>
        <w:gridCol w:w="3232"/>
        <w:gridCol w:w="1271"/>
        <w:gridCol w:w="1125"/>
        <w:gridCol w:w="8912"/>
      </w:tblGrid>
      <w:tr w:rsidR="00F32399" w14:paraId="035ADF2F" w14:textId="77777777" w:rsidTr="00F32399">
        <w:tc>
          <w:tcPr>
            <w:tcW w:w="350" w:type="dxa"/>
            <w:shd w:val="clear" w:color="auto" w:fill="EEECE1" w:themeFill="background2"/>
            <w:vAlign w:val="center"/>
          </w:tcPr>
          <w:p w14:paraId="12D21DFE" w14:textId="77777777" w:rsidR="00F32399" w:rsidRPr="001C106A" w:rsidRDefault="00F32399" w:rsidP="0033081C">
            <w:pPr>
              <w:jc w:val="center"/>
              <w:rPr>
                <w:rFonts w:ascii="Arial" w:hAnsi="Arial" w:cs="Arial"/>
                <w:b/>
                <w:bCs/>
                <w:sz w:val="20"/>
                <w:szCs w:val="20"/>
              </w:rPr>
            </w:pPr>
            <w:r w:rsidRPr="001C106A">
              <w:rPr>
                <w:rFonts w:ascii="Arial" w:hAnsi="Arial" w:cs="Arial"/>
                <w:b/>
                <w:bCs/>
                <w:sz w:val="20"/>
                <w:szCs w:val="20"/>
              </w:rPr>
              <w:t>#</w:t>
            </w:r>
          </w:p>
        </w:tc>
        <w:tc>
          <w:tcPr>
            <w:tcW w:w="3232" w:type="dxa"/>
            <w:shd w:val="clear" w:color="auto" w:fill="EEECE1" w:themeFill="background2"/>
            <w:vAlign w:val="center"/>
          </w:tcPr>
          <w:p w14:paraId="21D55FA2" w14:textId="77777777" w:rsidR="00F32399" w:rsidRPr="001C106A" w:rsidRDefault="00F32399" w:rsidP="0033081C">
            <w:pPr>
              <w:jc w:val="center"/>
              <w:rPr>
                <w:rFonts w:ascii="Arial" w:hAnsi="Arial" w:cs="Arial"/>
                <w:b/>
                <w:bCs/>
                <w:sz w:val="20"/>
                <w:szCs w:val="20"/>
              </w:rPr>
            </w:pPr>
            <w:r w:rsidRPr="001C106A">
              <w:rPr>
                <w:rFonts w:ascii="Arial" w:hAnsi="Arial" w:cs="Arial"/>
                <w:b/>
                <w:bCs/>
                <w:sz w:val="20"/>
                <w:szCs w:val="20"/>
              </w:rPr>
              <w:t>Description / Reference / Site</w:t>
            </w:r>
          </w:p>
        </w:tc>
        <w:tc>
          <w:tcPr>
            <w:tcW w:w="1271" w:type="dxa"/>
            <w:shd w:val="clear" w:color="auto" w:fill="EEECE1" w:themeFill="background2"/>
            <w:vAlign w:val="center"/>
          </w:tcPr>
          <w:p w14:paraId="11C292D6" w14:textId="77777777" w:rsidR="00F32399" w:rsidRPr="001C106A" w:rsidRDefault="00F32399" w:rsidP="0033081C">
            <w:pPr>
              <w:jc w:val="center"/>
              <w:rPr>
                <w:rFonts w:ascii="Arial" w:hAnsi="Arial" w:cs="Arial"/>
                <w:b/>
                <w:bCs/>
                <w:sz w:val="20"/>
                <w:szCs w:val="20"/>
              </w:rPr>
            </w:pPr>
            <w:r w:rsidRPr="001C106A">
              <w:rPr>
                <w:rFonts w:ascii="Arial" w:hAnsi="Arial" w:cs="Arial"/>
                <w:b/>
                <w:bCs/>
                <w:sz w:val="20"/>
                <w:szCs w:val="20"/>
              </w:rPr>
              <w:t>Original/ Current £s</w:t>
            </w:r>
          </w:p>
        </w:tc>
        <w:tc>
          <w:tcPr>
            <w:tcW w:w="1125" w:type="dxa"/>
            <w:shd w:val="clear" w:color="auto" w:fill="EEECE1" w:themeFill="background2"/>
            <w:vAlign w:val="center"/>
          </w:tcPr>
          <w:p w14:paraId="7087CC11" w14:textId="77777777" w:rsidR="00F32399" w:rsidRPr="001C106A" w:rsidRDefault="00F32399" w:rsidP="0033081C">
            <w:pPr>
              <w:jc w:val="center"/>
              <w:rPr>
                <w:rFonts w:ascii="Arial" w:hAnsi="Arial" w:cs="Arial"/>
                <w:b/>
                <w:bCs/>
                <w:sz w:val="20"/>
                <w:szCs w:val="20"/>
              </w:rPr>
            </w:pPr>
            <w:r w:rsidRPr="001C106A">
              <w:rPr>
                <w:rFonts w:ascii="Arial" w:hAnsi="Arial" w:cs="Arial"/>
                <w:b/>
                <w:bCs/>
                <w:sz w:val="20"/>
                <w:szCs w:val="20"/>
              </w:rPr>
              <w:t>Held By</w:t>
            </w:r>
          </w:p>
        </w:tc>
        <w:tc>
          <w:tcPr>
            <w:tcW w:w="8912" w:type="dxa"/>
            <w:shd w:val="clear" w:color="auto" w:fill="EEECE1" w:themeFill="background2"/>
            <w:vAlign w:val="center"/>
          </w:tcPr>
          <w:p w14:paraId="24ACAE73" w14:textId="77777777" w:rsidR="00F32399" w:rsidRPr="001C106A" w:rsidRDefault="00F32399" w:rsidP="0033081C">
            <w:pPr>
              <w:jc w:val="center"/>
              <w:rPr>
                <w:rFonts w:ascii="Arial" w:hAnsi="Arial" w:cs="Arial"/>
                <w:b/>
                <w:bCs/>
                <w:sz w:val="20"/>
                <w:szCs w:val="20"/>
              </w:rPr>
            </w:pPr>
            <w:r w:rsidRPr="001C106A">
              <w:rPr>
                <w:rFonts w:ascii="Arial" w:hAnsi="Arial" w:cs="Arial"/>
                <w:b/>
                <w:bCs/>
                <w:sz w:val="20"/>
                <w:szCs w:val="20"/>
              </w:rPr>
              <w:t>Comments</w:t>
            </w:r>
          </w:p>
        </w:tc>
      </w:tr>
      <w:tr w:rsidR="00F32399" w14:paraId="365B89FA" w14:textId="77777777" w:rsidTr="00F32399">
        <w:tc>
          <w:tcPr>
            <w:tcW w:w="350" w:type="dxa"/>
            <w:vAlign w:val="center"/>
          </w:tcPr>
          <w:p w14:paraId="5030ADEB" w14:textId="77777777" w:rsidR="00F32399" w:rsidRPr="00F50611" w:rsidRDefault="00F32399" w:rsidP="0033081C">
            <w:pPr>
              <w:jc w:val="center"/>
              <w:rPr>
                <w:rFonts w:ascii="Arial" w:hAnsi="Arial" w:cs="Arial"/>
                <w:sz w:val="20"/>
                <w:szCs w:val="20"/>
              </w:rPr>
            </w:pPr>
            <w:r w:rsidRPr="00F50611">
              <w:rPr>
                <w:rFonts w:ascii="Arial" w:hAnsi="Arial" w:cs="Arial"/>
                <w:sz w:val="20"/>
                <w:szCs w:val="20"/>
              </w:rPr>
              <w:t>1</w:t>
            </w:r>
          </w:p>
        </w:tc>
        <w:tc>
          <w:tcPr>
            <w:tcW w:w="3232" w:type="dxa"/>
            <w:vAlign w:val="center"/>
          </w:tcPr>
          <w:p w14:paraId="768CF1C6" w14:textId="77777777" w:rsidR="00F32399" w:rsidRPr="00F50611" w:rsidRDefault="00F32399" w:rsidP="0033081C">
            <w:pPr>
              <w:jc w:val="center"/>
              <w:rPr>
                <w:rFonts w:ascii="Arial" w:hAnsi="Arial" w:cs="Arial"/>
                <w:color w:val="000000" w:themeColor="text1"/>
                <w:sz w:val="20"/>
                <w:szCs w:val="20"/>
              </w:rPr>
            </w:pPr>
            <w:r w:rsidRPr="00F50611">
              <w:rPr>
                <w:rFonts w:ascii="Arial" w:hAnsi="Arial" w:cs="Arial"/>
                <w:color w:val="000000" w:themeColor="text1"/>
                <w:sz w:val="20"/>
                <w:szCs w:val="20"/>
              </w:rPr>
              <w:t xml:space="preserve">Taylor Wimpey </w:t>
            </w:r>
            <w:proofErr w:type="spellStart"/>
            <w:r w:rsidRPr="00F50611">
              <w:rPr>
                <w:rFonts w:ascii="Arial" w:hAnsi="Arial" w:cs="Arial"/>
                <w:color w:val="000000" w:themeColor="text1"/>
                <w:sz w:val="20"/>
                <w:szCs w:val="20"/>
              </w:rPr>
              <w:t>Gravelye</w:t>
            </w:r>
            <w:proofErr w:type="spellEnd"/>
            <w:r w:rsidRPr="00F50611">
              <w:rPr>
                <w:rFonts w:ascii="Arial" w:hAnsi="Arial" w:cs="Arial"/>
                <w:color w:val="000000" w:themeColor="text1"/>
                <w:sz w:val="20"/>
                <w:szCs w:val="20"/>
              </w:rPr>
              <w:t xml:space="preserve"> Lane development S106 7/3/17 “towards improvements at the junction of the B2111 Lewes Road / B2118 High Street</w:t>
            </w:r>
            <w:r>
              <w:rPr>
                <w:rFonts w:ascii="Arial" w:hAnsi="Arial" w:cs="Arial"/>
                <w:color w:val="000000" w:themeColor="text1"/>
                <w:sz w:val="20"/>
                <w:szCs w:val="20"/>
              </w:rPr>
              <w:t>”</w:t>
            </w:r>
          </w:p>
        </w:tc>
        <w:tc>
          <w:tcPr>
            <w:tcW w:w="1271" w:type="dxa"/>
            <w:vAlign w:val="center"/>
          </w:tcPr>
          <w:p w14:paraId="18243E3B" w14:textId="77777777" w:rsidR="00F32399" w:rsidRPr="00F50611" w:rsidRDefault="00F32399" w:rsidP="0033081C">
            <w:pPr>
              <w:jc w:val="center"/>
              <w:rPr>
                <w:rFonts w:ascii="Arial" w:hAnsi="Arial" w:cs="Arial"/>
                <w:color w:val="000000" w:themeColor="text1"/>
                <w:sz w:val="20"/>
                <w:szCs w:val="20"/>
              </w:rPr>
            </w:pPr>
            <w:r w:rsidRPr="00F50611">
              <w:rPr>
                <w:rFonts w:ascii="Arial" w:hAnsi="Arial" w:cs="Arial"/>
                <w:color w:val="000000" w:themeColor="text1"/>
                <w:sz w:val="20"/>
                <w:szCs w:val="20"/>
              </w:rPr>
              <w:t>9,4</w:t>
            </w:r>
            <w:r>
              <w:rPr>
                <w:rFonts w:ascii="Arial" w:hAnsi="Arial" w:cs="Arial"/>
                <w:color w:val="000000" w:themeColor="text1"/>
                <w:sz w:val="20"/>
                <w:szCs w:val="20"/>
              </w:rPr>
              <w:t>4</w:t>
            </w:r>
            <w:r w:rsidRPr="00F50611">
              <w:rPr>
                <w:rFonts w:ascii="Arial" w:hAnsi="Arial" w:cs="Arial"/>
                <w:color w:val="000000" w:themeColor="text1"/>
                <w:sz w:val="20"/>
                <w:szCs w:val="20"/>
              </w:rPr>
              <w:t>0</w:t>
            </w:r>
          </w:p>
        </w:tc>
        <w:tc>
          <w:tcPr>
            <w:tcW w:w="1125" w:type="dxa"/>
            <w:vAlign w:val="center"/>
          </w:tcPr>
          <w:p w14:paraId="4174164E" w14:textId="77777777" w:rsidR="00F32399" w:rsidRPr="00F50611" w:rsidRDefault="00F32399" w:rsidP="0033081C">
            <w:pPr>
              <w:jc w:val="center"/>
              <w:rPr>
                <w:rFonts w:ascii="Arial" w:hAnsi="Arial" w:cs="Arial"/>
                <w:color w:val="000000" w:themeColor="text1"/>
                <w:sz w:val="20"/>
                <w:szCs w:val="20"/>
              </w:rPr>
            </w:pPr>
            <w:r>
              <w:rPr>
                <w:rFonts w:ascii="Arial" w:hAnsi="Arial" w:cs="Arial"/>
                <w:color w:val="000000" w:themeColor="text1"/>
                <w:sz w:val="20"/>
                <w:szCs w:val="20"/>
              </w:rPr>
              <w:t>WSCC?</w:t>
            </w:r>
          </w:p>
        </w:tc>
        <w:tc>
          <w:tcPr>
            <w:tcW w:w="8912" w:type="dxa"/>
            <w:vAlign w:val="center"/>
          </w:tcPr>
          <w:p w14:paraId="1D888302" w14:textId="77777777" w:rsidR="00F32399" w:rsidRDefault="00F32399" w:rsidP="00DF5F97">
            <w:pPr>
              <w:pStyle w:val="ListParagraph"/>
              <w:numPr>
                <w:ilvl w:val="0"/>
                <w:numId w:val="13"/>
              </w:numPr>
              <w:rPr>
                <w:rFonts w:ascii="Arial" w:hAnsi="Arial" w:cs="Arial"/>
                <w:color w:val="000000" w:themeColor="text1"/>
                <w:sz w:val="20"/>
                <w:szCs w:val="20"/>
              </w:rPr>
            </w:pPr>
            <w:r w:rsidRPr="00CD61FB">
              <w:rPr>
                <w:rFonts w:ascii="Arial" w:hAnsi="Arial" w:cs="Arial"/>
                <w:color w:val="000000" w:themeColor="text1"/>
                <w:sz w:val="20"/>
                <w:szCs w:val="20"/>
              </w:rPr>
              <w:t>10/2/19 JAE for MSDC advises Planning</w:t>
            </w:r>
            <w:r>
              <w:rPr>
                <w:rFonts w:ascii="Arial" w:hAnsi="Arial" w:cs="Arial"/>
                <w:color w:val="000000" w:themeColor="text1"/>
                <w:sz w:val="20"/>
                <w:szCs w:val="20"/>
              </w:rPr>
              <w:t xml:space="preserve"> comment</w:t>
            </w:r>
            <w:r w:rsidRPr="00CD61FB">
              <w:rPr>
                <w:rFonts w:ascii="Arial" w:hAnsi="Arial" w:cs="Arial"/>
                <w:color w:val="000000" w:themeColor="text1"/>
                <w:sz w:val="20"/>
                <w:szCs w:val="20"/>
              </w:rPr>
              <w:t xml:space="preserve"> “does not specifically relate to the development from which the money was collected or result in physical improvements to the Lewes Road/High Street junction, using this money for the TRO would not be possible”</w:t>
            </w:r>
          </w:p>
          <w:p w14:paraId="142926C1" w14:textId="3B670617" w:rsidR="00F32399" w:rsidRPr="00DF5F97" w:rsidRDefault="00F32399" w:rsidP="0033081C">
            <w:pPr>
              <w:pStyle w:val="ListParagraph"/>
              <w:numPr>
                <w:ilvl w:val="0"/>
                <w:numId w:val="13"/>
              </w:numPr>
              <w:rPr>
                <w:rFonts w:ascii="Arial" w:hAnsi="Arial" w:cs="Arial"/>
                <w:color w:val="000000" w:themeColor="text1"/>
                <w:sz w:val="20"/>
                <w:szCs w:val="20"/>
              </w:rPr>
            </w:pPr>
            <w:r>
              <w:rPr>
                <w:rFonts w:ascii="Arial" w:hAnsi="Arial" w:cs="Arial"/>
                <w:color w:val="000000" w:themeColor="text1"/>
                <w:sz w:val="20"/>
                <w:szCs w:val="20"/>
              </w:rPr>
              <w:t>It is worth highlighting that the agreement does not reference physical improvements notwithstanding MSDCs comments</w:t>
            </w:r>
          </w:p>
        </w:tc>
      </w:tr>
      <w:tr w:rsidR="00F32399" w14:paraId="1F93FC6B" w14:textId="77777777" w:rsidTr="00F32399">
        <w:tc>
          <w:tcPr>
            <w:tcW w:w="350" w:type="dxa"/>
            <w:vAlign w:val="center"/>
          </w:tcPr>
          <w:p w14:paraId="70C90A1E" w14:textId="77777777" w:rsidR="00F32399" w:rsidRPr="00F50611" w:rsidRDefault="00F32399" w:rsidP="0033081C">
            <w:pPr>
              <w:jc w:val="center"/>
              <w:rPr>
                <w:rFonts w:ascii="Arial" w:hAnsi="Arial" w:cs="Arial"/>
                <w:sz w:val="20"/>
                <w:szCs w:val="20"/>
              </w:rPr>
            </w:pPr>
            <w:r w:rsidRPr="00F50611">
              <w:rPr>
                <w:rFonts w:ascii="Arial" w:hAnsi="Arial" w:cs="Arial"/>
                <w:sz w:val="20"/>
                <w:szCs w:val="20"/>
              </w:rPr>
              <w:t>2</w:t>
            </w:r>
          </w:p>
        </w:tc>
        <w:tc>
          <w:tcPr>
            <w:tcW w:w="3232" w:type="dxa"/>
            <w:vAlign w:val="center"/>
          </w:tcPr>
          <w:p w14:paraId="6B9619FB" w14:textId="77777777" w:rsidR="00F32399" w:rsidRPr="00F50611" w:rsidRDefault="00F32399" w:rsidP="0033081C">
            <w:pPr>
              <w:jc w:val="center"/>
              <w:rPr>
                <w:rFonts w:ascii="Arial" w:hAnsi="Arial" w:cs="Arial"/>
                <w:color w:val="000000" w:themeColor="text1"/>
                <w:sz w:val="20"/>
                <w:szCs w:val="20"/>
              </w:rPr>
            </w:pPr>
            <w:r w:rsidRPr="00F50611">
              <w:rPr>
                <w:rFonts w:ascii="Arial" w:hAnsi="Arial" w:cs="Arial"/>
                <w:color w:val="000000" w:themeColor="text1"/>
                <w:sz w:val="20"/>
                <w:szCs w:val="20"/>
              </w:rPr>
              <w:t xml:space="preserve">£144k Land East of </w:t>
            </w:r>
            <w:proofErr w:type="spellStart"/>
            <w:r w:rsidRPr="00F50611">
              <w:rPr>
                <w:rFonts w:ascii="Arial" w:hAnsi="Arial" w:cs="Arial"/>
                <w:color w:val="000000" w:themeColor="text1"/>
                <w:sz w:val="20"/>
                <w:szCs w:val="20"/>
              </w:rPr>
              <w:t>Grav</w:t>
            </w:r>
            <w:r>
              <w:rPr>
                <w:rFonts w:ascii="Arial" w:hAnsi="Arial" w:cs="Arial"/>
                <w:color w:val="000000" w:themeColor="text1"/>
                <w:sz w:val="20"/>
                <w:szCs w:val="20"/>
              </w:rPr>
              <w:t>e</w:t>
            </w:r>
            <w:r w:rsidRPr="00F50611">
              <w:rPr>
                <w:rFonts w:ascii="Arial" w:hAnsi="Arial" w:cs="Arial"/>
                <w:color w:val="000000" w:themeColor="text1"/>
                <w:sz w:val="20"/>
                <w:szCs w:val="20"/>
              </w:rPr>
              <w:t>lye</w:t>
            </w:r>
            <w:proofErr w:type="spellEnd"/>
            <w:r w:rsidRPr="00F50611">
              <w:rPr>
                <w:rFonts w:ascii="Arial" w:hAnsi="Arial" w:cs="Arial"/>
                <w:color w:val="000000" w:themeColor="text1"/>
                <w:sz w:val="20"/>
                <w:szCs w:val="20"/>
              </w:rPr>
              <w:t xml:space="preserve"> Lane and North of </w:t>
            </w:r>
            <w:proofErr w:type="spellStart"/>
            <w:r w:rsidRPr="00F50611">
              <w:rPr>
                <w:rFonts w:ascii="Arial" w:hAnsi="Arial" w:cs="Arial"/>
                <w:color w:val="000000" w:themeColor="text1"/>
                <w:sz w:val="20"/>
                <w:szCs w:val="20"/>
              </w:rPr>
              <w:t>Lyoth</w:t>
            </w:r>
            <w:proofErr w:type="spellEnd"/>
            <w:r w:rsidRPr="00F50611">
              <w:rPr>
                <w:rFonts w:ascii="Arial" w:hAnsi="Arial" w:cs="Arial"/>
                <w:color w:val="000000" w:themeColor="text1"/>
                <w:sz w:val="20"/>
                <w:szCs w:val="20"/>
              </w:rPr>
              <w:t xml:space="preserve"> Lane S106 agreement dated 30/10/13 “Local Community Infrastructure Contribution”.</w:t>
            </w:r>
          </w:p>
        </w:tc>
        <w:tc>
          <w:tcPr>
            <w:tcW w:w="1271" w:type="dxa"/>
            <w:vAlign w:val="center"/>
          </w:tcPr>
          <w:p w14:paraId="786FA066" w14:textId="77777777" w:rsidR="00F32399" w:rsidRDefault="00F32399" w:rsidP="0033081C">
            <w:pPr>
              <w:jc w:val="center"/>
              <w:rPr>
                <w:rFonts w:ascii="Arial" w:hAnsi="Arial" w:cs="Arial"/>
                <w:color w:val="000000" w:themeColor="text1"/>
                <w:sz w:val="20"/>
                <w:szCs w:val="20"/>
              </w:rPr>
            </w:pPr>
            <w:r w:rsidRPr="00F50611">
              <w:rPr>
                <w:rFonts w:ascii="Arial" w:hAnsi="Arial" w:cs="Arial"/>
                <w:color w:val="000000" w:themeColor="text1"/>
                <w:sz w:val="20"/>
                <w:szCs w:val="20"/>
              </w:rPr>
              <w:t>144,000</w:t>
            </w:r>
            <w:r>
              <w:rPr>
                <w:rFonts w:ascii="Arial" w:hAnsi="Arial" w:cs="Arial"/>
                <w:color w:val="000000" w:themeColor="text1"/>
                <w:sz w:val="20"/>
                <w:szCs w:val="20"/>
              </w:rPr>
              <w:t>/</w:t>
            </w:r>
          </w:p>
          <w:p w14:paraId="6D6970BF" w14:textId="77777777" w:rsidR="00F32399" w:rsidRPr="00F50611" w:rsidRDefault="00F32399" w:rsidP="0033081C">
            <w:pPr>
              <w:jc w:val="center"/>
              <w:rPr>
                <w:rFonts w:ascii="Arial" w:hAnsi="Arial" w:cs="Arial"/>
                <w:color w:val="000000" w:themeColor="text1"/>
                <w:sz w:val="20"/>
                <w:szCs w:val="20"/>
              </w:rPr>
            </w:pPr>
            <w:r>
              <w:rPr>
                <w:rFonts w:ascii="Arial" w:hAnsi="Arial" w:cs="Arial"/>
                <w:color w:val="000000" w:themeColor="text1"/>
                <w:sz w:val="20"/>
                <w:szCs w:val="20"/>
              </w:rPr>
              <w:t>7,616.24</w:t>
            </w:r>
          </w:p>
        </w:tc>
        <w:tc>
          <w:tcPr>
            <w:tcW w:w="1125" w:type="dxa"/>
            <w:vAlign w:val="center"/>
          </w:tcPr>
          <w:p w14:paraId="01174DCB" w14:textId="77777777" w:rsidR="00F32399" w:rsidRPr="00F50611" w:rsidRDefault="00F32399" w:rsidP="0033081C">
            <w:pPr>
              <w:jc w:val="center"/>
              <w:rPr>
                <w:rFonts w:ascii="Arial" w:hAnsi="Arial" w:cs="Arial"/>
                <w:color w:val="000000" w:themeColor="text1"/>
                <w:sz w:val="20"/>
                <w:szCs w:val="20"/>
              </w:rPr>
            </w:pPr>
            <w:r>
              <w:rPr>
                <w:rFonts w:ascii="Arial" w:hAnsi="Arial" w:cs="Arial"/>
                <w:color w:val="000000" w:themeColor="text1"/>
                <w:sz w:val="20"/>
                <w:szCs w:val="20"/>
              </w:rPr>
              <w:t>MSDC</w:t>
            </w:r>
          </w:p>
        </w:tc>
        <w:tc>
          <w:tcPr>
            <w:tcW w:w="8912" w:type="dxa"/>
            <w:vAlign w:val="center"/>
          </w:tcPr>
          <w:p w14:paraId="761028B4" w14:textId="77777777" w:rsidR="00F32399" w:rsidRDefault="00F32399" w:rsidP="00DF5F97">
            <w:pPr>
              <w:pStyle w:val="ListParagraph"/>
              <w:numPr>
                <w:ilvl w:val="0"/>
                <w:numId w:val="14"/>
              </w:numPr>
              <w:rPr>
                <w:rFonts w:ascii="Arial" w:hAnsi="Arial" w:cs="Arial"/>
                <w:color w:val="000000" w:themeColor="text1"/>
                <w:sz w:val="20"/>
                <w:szCs w:val="20"/>
              </w:rPr>
            </w:pPr>
            <w:r w:rsidRPr="0015728C">
              <w:rPr>
                <w:rFonts w:ascii="Arial" w:hAnsi="Arial" w:cs="Arial"/>
                <w:color w:val="000000" w:themeColor="text1"/>
                <w:sz w:val="20"/>
                <w:szCs w:val="20"/>
              </w:rPr>
              <w:t xml:space="preserve">Referenced by Sam Mason at WSCC “We have a contribution </w:t>
            </w:r>
            <w:r>
              <w:rPr>
                <w:rFonts w:ascii="Arial" w:hAnsi="Arial" w:cs="Arial"/>
                <w:color w:val="000000" w:themeColor="text1"/>
                <w:sz w:val="20"/>
                <w:szCs w:val="20"/>
              </w:rPr>
              <w:t>form</w:t>
            </w:r>
            <w:r w:rsidRPr="0015728C">
              <w:rPr>
                <w:rFonts w:ascii="Arial" w:hAnsi="Arial" w:cs="Arial"/>
                <w:color w:val="000000" w:themeColor="text1"/>
                <w:sz w:val="20"/>
                <w:szCs w:val="20"/>
              </w:rPr>
              <w:t xml:space="preserve"> planning application LR/4316/12 (Land To The East Of </w:t>
            </w:r>
            <w:proofErr w:type="spellStart"/>
            <w:r w:rsidRPr="0015728C">
              <w:rPr>
                <w:rFonts w:ascii="Arial" w:hAnsi="Arial" w:cs="Arial"/>
                <w:color w:val="000000" w:themeColor="text1"/>
                <w:sz w:val="20"/>
                <w:szCs w:val="20"/>
              </w:rPr>
              <w:t>Gravelye</w:t>
            </w:r>
            <w:proofErr w:type="spellEnd"/>
            <w:r w:rsidRPr="0015728C">
              <w:rPr>
                <w:rFonts w:ascii="Arial" w:hAnsi="Arial" w:cs="Arial"/>
                <w:color w:val="000000" w:themeColor="text1"/>
                <w:sz w:val="20"/>
                <w:szCs w:val="20"/>
              </w:rPr>
              <w:t xml:space="preserve"> Lane, North Of </w:t>
            </w:r>
            <w:proofErr w:type="spellStart"/>
            <w:r w:rsidRPr="0015728C">
              <w:rPr>
                <w:rFonts w:ascii="Arial" w:hAnsi="Arial" w:cs="Arial"/>
                <w:color w:val="000000" w:themeColor="text1"/>
                <w:sz w:val="20"/>
                <w:szCs w:val="20"/>
              </w:rPr>
              <w:t>Lyoth</w:t>
            </w:r>
            <w:proofErr w:type="spellEnd"/>
            <w:r w:rsidRPr="0015728C">
              <w:rPr>
                <w:rFonts w:ascii="Arial" w:hAnsi="Arial" w:cs="Arial"/>
                <w:color w:val="000000" w:themeColor="text1"/>
                <w:sz w:val="20"/>
                <w:szCs w:val="20"/>
              </w:rPr>
              <w:t xml:space="preserve"> Lane, Lindfield, £144,000 received) which could be used to fund a TRO in this location.“ but have been unable to make contact</w:t>
            </w:r>
            <w:r>
              <w:rPr>
                <w:rFonts w:ascii="Arial" w:hAnsi="Arial" w:cs="Arial"/>
                <w:color w:val="000000" w:themeColor="text1"/>
                <w:sz w:val="20"/>
                <w:szCs w:val="20"/>
              </w:rPr>
              <w:t xml:space="preserve"> with him</w:t>
            </w:r>
            <w:r w:rsidRPr="0015728C">
              <w:rPr>
                <w:rFonts w:ascii="Arial" w:hAnsi="Arial" w:cs="Arial"/>
                <w:color w:val="000000" w:themeColor="text1"/>
                <w:sz w:val="20"/>
                <w:szCs w:val="20"/>
              </w:rPr>
              <w:t xml:space="preserve"> to confirm details/availability</w:t>
            </w:r>
          </w:p>
          <w:p w14:paraId="64F677ED" w14:textId="77777777" w:rsidR="00F32399" w:rsidRDefault="00F32399" w:rsidP="00DF5F97">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MSDC would appear to have £7,616.24 available of £148k received under this reference, headed Lindfield Rural (?).  Remainder spent / £75k ringfenced for Common CP improvements.</w:t>
            </w:r>
          </w:p>
          <w:p w14:paraId="31B4D568" w14:textId="09084418" w:rsidR="00F32399" w:rsidRPr="00DD6E14" w:rsidRDefault="00F32399" w:rsidP="0033081C">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MSDC advise £7,616.24 ‘available’</w:t>
            </w:r>
          </w:p>
        </w:tc>
      </w:tr>
      <w:tr w:rsidR="00F32399" w14:paraId="718F53DE" w14:textId="77777777" w:rsidTr="00F32399">
        <w:tc>
          <w:tcPr>
            <w:tcW w:w="350" w:type="dxa"/>
            <w:vAlign w:val="center"/>
          </w:tcPr>
          <w:p w14:paraId="0B47669F" w14:textId="77777777" w:rsidR="00F32399" w:rsidRPr="00F50611" w:rsidRDefault="00F32399" w:rsidP="0033081C">
            <w:pPr>
              <w:jc w:val="center"/>
              <w:rPr>
                <w:rFonts w:ascii="Arial" w:hAnsi="Arial" w:cs="Arial"/>
                <w:sz w:val="20"/>
                <w:szCs w:val="20"/>
              </w:rPr>
            </w:pPr>
            <w:r w:rsidRPr="00F50611">
              <w:rPr>
                <w:rFonts w:ascii="Arial" w:hAnsi="Arial" w:cs="Arial"/>
                <w:sz w:val="20"/>
                <w:szCs w:val="20"/>
              </w:rPr>
              <w:t>3</w:t>
            </w:r>
          </w:p>
        </w:tc>
        <w:tc>
          <w:tcPr>
            <w:tcW w:w="3232" w:type="dxa"/>
            <w:vAlign w:val="center"/>
          </w:tcPr>
          <w:p w14:paraId="4D38A742" w14:textId="74A4CBA2" w:rsidR="00F32399" w:rsidRPr="00F50611" w:rsidRDefault="00F32399" w:rsidP="0033081C">
            <w:pPr>
              <w:jc w:val="center"/>
              <w:rPr>
                <w:rFonts w:ascii="Arial" w:hAnsi="Arial" w:cs="Arial"/>
                <w:color w:val="000000" w:themeColor="text1"/>
                <w:sz w:val="20"/>
                <w:szCs w:val="20"/>
              </w:rPr>
            </w:pPr>
            <w:r w:rsidRPr="00F50611">
              <w:rPr>
                <w:rFonts w:ascii="Arial" w:hAnsi="Arial" w:cs="Arial"/>
                <w:color w:val="000000" w:themeColor="text1"/>
                <w:sz w:val="20"/>
                <w:szCs w:val="20"/>
              </w:rPr>
              <w:t xml:space="preserve">Pedestrian crossing outside of the </w:t>
            </w:r>
            <w:proofErr w:type="gramStart"/>
            <w:r w:rsidRPr="00F50611">
              <w:rPr>
                <w:rFonts w:ascii="Arial" w:hAnsi="Arial" w:cs="Arial"/>
                <w:color w:val="000000" w:themeColor="text1"/>
                <w:sz w:val="20"/>
                <w:szCs w:val="20"/>
              </w:rPr>
              <w:t>KEH</w:t>
            </w:r>
            <w:proofErr w:type="gramEnd"/>
            <w:r w:rsidRPr="00F50611">
              <w:rPr>
                <w:rFonts w:ascii="Arial" w:hAnsi="Arial" w:cs="Arial"/>
                <w:color w:val="000000" w:themeColor="text1"/>
                <w:sz w:val="20"/>
                <w:szCs w:val="20"/>
              </w:rPr>
              <w:t xml:space="preserve"> but this was quickly stopped! </w:t>
            </w:r>
            <w:r>
              <w:rPr>
                <w:rFonts w:ascii="Arial" w:hAnsi="Arial" w:cs="Arial"/>
                <w:color w:val="000000" w:themeColor="text1"/>
                <w:sz w:val="20"/>
                <w:szCs w:val="20"/>
              </w:rPr>
              <w:t>&gt;</w:t>
            </w:r>
            <w:r w:rsidRPr="00F50611">
              <w:rPr>
                <w:rFonts w:ascii="Arial" w:hAnsi="Arial" w:cs="Arial"/>
                <w:color w:val="000000" w:themeColor="text1"/>
                <w:sz w:val="20"/>
                <w:szCs w:val="20"/>
              </w:rPr>
              <w:t xml:space="preserve">£25k available but short notice cancellation costs </w:t>
            </w:r>
            <w:r>
              <w:rPr>
                <w:rFonts w:ascii="Arial" w:hAnsi="Arial" w:cs="Arial"/>
                <w:color w:val="000000" w:themeColor="text1"/>
                <w:sz w:val="20"/>
                <w:szCs w:val="20"/>
              </w:rPr>
              <w:t xml:space="preserve">mean </w:t>
            </w:r>
            <w:r w:rsidRPr="00F50611">
              <w:rPr>
                <w:rFonts w:ascii="Arial" w:hAnsi="Arial" w:cs="Arial"/>
                <w:color w:val="000000" w:themeColor="text1"/>
                <w:sz w:val="20"/>
                <w:szCs w:val="20"/>
              </w:rPr>
              <w:t>reduced to &lt;£20k</w:t>
            </w:r>
          </w:p>
        </w:tc>
        <w:tc>
          <w:tcPr>
            <w:tcW w:w="1271" w:type="dxa"/>
            <w:vAlign w:val="center"/>
          </w:tcPr>
          <w:p w14:paraId="117567BB" w14:textId="77777777" w:rsidR="00F32399" w:rsidRPr="00F50611" w:rsidRDefault="00F32399" w:rsidP="0033081C">
            <w:pPr>
              <w:jc w:val="center"/>
              <w:rPr>
                <w:rFonts w:ascii="Arial" w:hAnsi="Arial" w:cs="Arial"/>
                <w:color w:val="000000" w:themeColor="text1"/>
                <w:sz w:val="20"/>
                <w:szCs w:val="20"/>
              </w:rPr>
            </w:pPr>
            <w:r>
              <w:rPr>
                <w:rFonts w:ascii="Arial" w:hAnsi="Arial" w:cs="Arial"/>
                <w:color w:val="000000" w:themeColor="text1"/>
                <w:sz w:val="20"/>
                <w:szCs w:val="20"/>
              </w:rPr>
              <w:t>?</w:t>
            </w:r>
          </w:p>
        </w:tc>
        <w:tc>
          <w:tcPr>
            <w:tcW w:w="1125" w:type="dxa"/>
            <w:vAlign w:val="center"/>
          </w:tcPr>
          <w:p w14:paraId="60193D82" w14:textId="77777777" w:rsidR="00F32399" w:rsidRDefault="00F32399" w:rsidP="0033081C">
            <w:pPr>
              <w:jc w:val="center"/>
              <w:rPr>
                <w:rFonts w:ascii="Arial" w:hAnsi="Arial" w:cs="Arial"/>
                <w:color w:val="000000" w:themeColor="text1"/>
                <w:sz w:val="20"/>
                <w:szCs w:val="20"/>
              </w:rPr>
            </w:pPr>
            <w:r>
              <w:rPr>
                <w:rFonts w:ascii="Arial" w:hAnsi="Arial" w:cs="Arial"/>
                <w:color w:val="000000" w:themeColor="text1"/>
                <w:sz w:val="20"/>
                <w:szCs w:val="20"/>
              </w:rPr>
              <w:t>WSCC?</w:t>
            </w:r>
          </w:p>
        </w:tc>
        <w:tc>
          <w:tcPr>
            <w:tcW w:w="8912" w:type="dxa"/>
            <w:vAlign w:val="center"/>
          </w:tcPr>
          <w:p w14:paraId="4359967E" w14:textId="77777777" w:rsidR="00F32399" w:rsidRPr="001C215C" w:rsidRDefault="00F32399" w:rsidP="00DF5F97">
            <w:pPr>
              <w:pStyle w:val="ListParagraph"/>
              <w:numPr>
                <w:ilvl w:val="0"/>
                <w:numId w:val="14"/>
              </w:numPr>
              <w:rPr>
                <w:rFonts w:ascii="Arial" w:hAnsi="Arial" w:cs="Arial"/>
                <w:color w:val="000000" w:themeColor="text1"/>
                <w:sz w:val="20"/>
                <w:szCs w:val="20"/>
              </w:rPr>
            </w:pPr>
            <w:r w:rsidRPr="001C215C">
              <w:rPr>
                <w:rFonts w:ascii="Arial" w:hAnsi="Arial" w:cs="Arial"/>
                <w:color w:val="000000" w:themeColor="text1"/>
                <w:sz w:val="20"/>
                <w:szCs w:val="20"/>
              </w:rPr>
              <w:t>Contact 13/10/17 Andrew Howick at WSCC,</w:t>
            </w:r>
            <w:r>
              <w:rPr>
                <w:rFonts w:ascii="Arial" w:hAnsi="Arial" w:cs="Arial"/>
                <w:color w:val="000000" w:themeColor="text1"/>
                <w:sz w:val="20"/>
                <w:szCs w:val="20"/>
              </w:rPr>
              <w:t xml:space="preserve"> </w:t>
            </w:r>
            <w:r w:rsidRPr="001C215C">
              <w:rPr>
                <w:rFonts w:ascii="Arial" w:hAnsi="Arial" w:cs="Arial"/>
                <w:color w:val="000000" w:themeColor="text1"/>
                <w:sz w:val="20"/>
                <w:szCs w:val="20"/>
              </w:rPr>
              <w:t xml:space="preserve">understood to be S278 Highways Agreement relating to Land East of </w:t>
            </w:r>
            <w:proofErr w:type="spellStart"/>
            <w:r w:rsidRPr="001C215C">
              <w:rPr>
                <w:rFonts w:ascii="Arial" w:hAnsi="Arial" w:cs="Arial"/>
                <w:color w:val="000000" w:themeColor="text1"/>
                <w:sz w:val="20"/>
                <w:szCs w:val="20"/>
              </w:rPr>
              <w:t>Gravelye</w:t>
            </w:r>
            <w:proofErr w:type="spellEnd"/>
            <w:r w:rsidRPr="001C215C">
              <w:rPr>
                <w:rFonts w:ascii="Arial" w:hAnsi="Arial" w:cs="Arial"/>
                <w:color w:val="000000" w:themeColor="text1"/>
                <w:sz w:val="20"/>
                <w:szCs w:val="20"/>
              </w:rPr>
              <w:t xml:space="preserve"> Lane 2013.  </w:t>
            </w:r>
            <w:proofErr w:type="spellStart"/>
            <w:r w:rsidRPr="001C215C">
              <w:rPr>
                <w:rFonts w:ascii="Arial" w:hAnsi="Arial" w:cs="Arial"/>
                <w:color w:val="000000" w:themeColor="text1"/>
                <w:sz w:val="20"/>
                <w:szCs w:val="20"/>
              </w:rPr>
              <w:t>Barrat</w:t>
            </w:r>
            <w:proofErr w:type="spellEnd"/>
            <w:r w:rsidRPr="001C215C">
              <w:rPr>
                <w:rFonts w:ascii="Arial" w:hAnsi="Arial" w:cs="Arial"/>
                <w:color w:val="000000" w:themeColor="text1"/>
                <w:sz w:val="20"/>
                <w:szCs w:val="20"/>
              </w:rPr>
              <w:t xml:space="preserve"> offered a Deed of Variation</w:t>
            </w:r>
            <w:r>
              <w:rPr>
                <w:rFonts w:ascii="Arial" w:hAnsi="Arial" w:cs="Arial"/>
                <w:color w:val="000000" w:themeColor="text1"/>
                <w:sz w:val="20"/>
                <w:szCs w:val="20"/>
              </w:rPr>
              <w:t xml:space="preserve"> at the time crossing was stopped…</w:t>
            </w:r>
          </w:p>
          <w:p w14:paraId="1A84ED95" w14:textId="5A98071B" w:rsidR="00F32399" w:rsidRPr="00A33C13" w:rsidRDefault="00F32399" w:rsidP="0033081C">
            <w:pPr>
              <w:pStyle w:val="ListParagraph"/>
              <w:numPr>
                <w:ilvl w:val="0"/>
                <w:numId w:val="14"/>
              </w:numPr>
              <w:rPr>
                <w:rFonts w:ascii="Arial" w:hAnsi="Arial" w:cs="Arial"/>
                <w:color w:val="000000" w:themeColor="text1"/>
                <w:sz w:val="20"/>
                <w:szCs w:val="20"/>
              </w:rPr>
            </w:pPr>
            <w:r w:rsidRPr="00CE5DD2">
              <w:rPr>
                <w:rFonts w:ascii="Arial" w:hAnsi="Arial" w:cs="Arial"/>
                <w:color w:val="000000" w:themeColor="text1"/>
                <w:sz w:val="20"/>
                <w:szCs w:val="20"/>
              </w:rPr>
              <w:t xml:space="preserve">old email chain references Glenn </w:t>
            </w:r>
            <w:proofErr w:type="spellStart"/>
            <w:r w:rsidRPr="00CE5DD2">
              <w:rPr>
                <w:rFonts w:ascii="Arial" w:hAnsi="Arial" w:cs="Arial"/>
                <w:color w:val="000000" w:themeColor="text1"/>
                <w:sz w:val="20"/>
                <w:szCs w:val="20"/>
              </w:rPr>
              <w:t>Pendry</w:t>
            </w:r>
            <w:proofErr w:type="spellEnd"/>
            <w:r w:rsidRPr="00CE5DD2">
              <w:rPr>
                <w:rFonts w:ascii="Arial" w:hAnsi="Arial" w:cs="Arial"/>
                <w:color w:val="000000" w:themeColor="text1"/>
                <w:sz w:val="20"/>
                <w:szCs w:val="20"/>
              </w:rPr>
              <w:t xml:space="preserve"> at </w:t>
            </w:r>
            <w:proofErr w:type="spellStart"/>
            <w:r w:rsidRPr="00CE5DD2">
              <w:rPr>
                <w:rFonts w:ascii="Arial" w:hAnsi="Arial" w:cs="Arial"/>
                <w:color w:val="000000" w:themeColor="text1"/>
                <w:sz w:val="20"/>
                <w:szCs w:val="20"/>
              </w:rPr>
              <w:t>barrathomes</w:t>
            </w:r>
            <w:proofErr w:type="spellEnd"/>
            <w:r w:rsidRPr="00CE5DD2">
              <w:rPr>
                <w:rFonts w:ascii="Arial" w:hAnsi="Arial" w:cs="Arial"/>
                <w:color w:val="000000" w:themeColor="text1"/>
                <w:sz w:val="20"/>
                <w:szCs w:val="20"/>
              </w:rPr>
              <w:t xml:space="preserve"> and mark </w:t>
            </w:r>
            <w:proofErr w:type="spellStart"/>
            <w:r w:rsidRPr="00CE5DD2">
              <w:rPr>
                <w:rFonts w:ascii="Arial" w:hAnsi="Arial" w:cs="Arial"/>
                <w:color w:val="000000" w:themeColor="text1"/>
                <w:sz w:val="20"/>
                <w:szCs w:val="20"/>
              </w:rPr>
              <w:t>akmenkalns</w:t>
            </w:r>
            <w:proofErr w:type="spellEnd"/>
            <w:r w:rsidRPr="00CE5DD2">
              <w:rPr>
                <w:rFonts w:ascii="Arial" w:hAnsi="Arial" w:cs="Arial"/>
                <w:color w:val="000000" w:themeColor="text1"/>
                <w:sz w:val="20"/>
                <w:szCs w:val="20"/>
              </w:rPr>
              <w:t xml:space="preserve"> at WSCC</w:t>
            </w:r>
          </w:p>
        </w:tc>
      </w:tr>
      <w:tr w:rsidR="00F32399" w14:paraId="3B584F4C" w14:textId="77777777" w:rsidTr="00F32399">
        <w:tc>
          <w:tcPr>
            <w:tcW w:w="350" w:type="dxa"/>
            <w:vAlign w:val="center"/>
          </w:tcPr>
          <w:p w14:paraId="22915A52" w14:textId="77777777" w:rsidR="00F32399" w:rsidRPr="00F50611" w:rsidRDefault="00F32399" w:rsidP="0033081C">
            <w:pPr>
              <w:jc w:val="center"/>
              <w:rPr>
                <w:rFonts w:ascii="Arial" w:hAnsi="Arial" w:cs="Arial"/>
                <w:sz w:val="20"/>
                <w:szCs w:val="20"/>
              </w:rPr>
            </w:pPr>
            <w:r w:rsidRPr="00F50611">
              <w:rPr>
                <w:rFonts w:ascii="Arial" w:hAnsi="Arial" w:cs="Arial"/>
                <w:sz w:val="20"/>
                <w:szCs w:val="20"/>
              </w:rPr>
              <w:t>4</w:t>
            </w:r>
          </w:p>
        </w:tc>
        <w:tc>
          <w:tcPr>
            <w:tcW w:w="3232" w:type="dxa"/>
            <w:vAlign w:val="center"/>
          </w:tcPr>
          <w:p w14:paraId="3D42BA34" w14:textId="77777777" w:rsidR="00F32399" w:rsidRPr="00F50611" w:rsidRDefault="00F32399" w:rsidP="0033081C">
            <w:pPr>
              <w:jc w:val="center"/>
              <w:rPr>
                <w:rFonts w:ascii="Arial" w:hAnsi="Arial" w:cs="Arial"/>
                <w:color w:val="000000" w:themeColor="text1"/>
                <w:sz w:val="20"/>
                <w:szCs w:val="20"/>
              </w:rPr>
            </w:pPr>
            <w:r w:rsidRPr="00F50611">
              <w:rPr>
                <w:rFonts w:ascii="Arial" w:hAnsi="Arial" w:cs="Arial"/>
                <w:color w:val="000000" w:themeColor="text1"/>
                <w:sz w:val="20"/>
                <w:szCs w:val="20"/>
              </w:rPr>
              <w:t>LCI in relation to Newton Road</w:t>
            </w:r>
            <w:r>
              <w:rPr>
                <w:rFonts w:ascii="Arial" w:hAnsi="Arial" w:cs="Arial"/>
                <w:color w:val="000000" w:themeColor="text1"/>
                <w:sz w:val="20"/>
                <w:szCs w:val="20"/>
              </w:rPr>
              <w:t xml:space="preserve"> 08/2903/FUL</w:t>
            </w:r>
          </w:p>
        </w:tc>
        <w:tc>
          <w:tcPr>
            <w:tcW w:w="1271" w:type="dxa"/>
            <w:vAlign w:val="center"/>
          </w:tcPr>
          <w:p w14:paraId="43EE427E" w14:textId="77777777" w:rsidR="00F32399" w:rsidRPr="00F50611" w:rsidRDefault="00F32399" w:rsidP="0033081C">
            <w:pPr>
              <w:jc w:val="center"/>
              <w:rPr>
                <w:rFonts w:ascii="Arial" w:hAnsi="Arial" w:cs="Arial"/>
                <w:color w:val="000000" w:themeColor="text1"/>
                <w:sz w:val="20"/>
                <w:szCs w:val="20"/>
              </w:rPr>
            </w:pPr>
            <w:r w:rsidRPr="00F50611">
              <w:rPr>
                <w:rFonts w:ascii="Arial" w:hAnsi="Arial" w:cs="Arial"/>
                <w:color w:val="000000" w:themeColor="text1"/>
                <w:sz w:val="20"/>
                <w:szCs w:val="20"/>
              </w:rPr>
              <w:t>1,313.77</w:t>
            </w:r>
          </w:p>
        </w:tc>
        <w:tc>
          <w:tcPr>
            <w:tcW w:w="1125" w:type="dxa"/>
            <w:vAlign w:val="center"/>
          </w:tcPr>
          <w:p w14:paraId="2679C14E" w14:textId="77777777" w:rsidR="00F32399" w:rsidRDefault="00F32399" w:rsidP="0033081C">
            <w:pPr>
              <w:jc w:val="center"/>
              <w:rPr>
                <w:rFonts w:ascii="Arial" w:hAnsi="Arial" w:cs="Arial"/>
                <w:color w:val="000000" w:themeColor="text1"/>
                <w:sz w:val="20"/>
                <w:szCs w:val="20"/>
              </w:rPr>
            </w:pPr>
            <w:r w:rsidRPr="00F50611">
              <w:rPr>
                <w:rFonts w:ascii="Arial" w:hAnsi="Arial" w:cs="Arial"/>
                <w:color w:val="000000" w:themeColor="text1"/>
                <w:sz w:val="20"/>
                <w:szCs w:val="20"/>
              </w:rPr>
              <w:t>MSDC</w:t>
            </w:r>
          </w:p>
        </w:tc>
        <w:tc>
          <w:tcPr>
            <w:tcW w:w="8912" w:type="dxa"/>
            <w:vAlign w:val="center"/>
          </w:tcPr>
          <w:p w14:paraId="27F98589" w14:textId="3DD486C6" w:rsidR="00F32399" w:rsidRPr="001C215C" w:rsidRDefault="00F32399" w:rsidP="00DF5F97">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MSDC</w:t>
            </w:r>
            <w:r w:rsidRPr="00E93A30">
              <w:rPr>
                <w:rFonts w:ascii="Arial" w:hAnsi="Arial" w:cs="Arial"/>
                <w:color w:val="000000" w:themeColor="text1"/>
                <w:sz w:val="20"/>
                <w:szCs w:val="20"/>
              </w:rPr>
              <w:t xml:space="preserve"> advise available and needs to be committed asap</w:t>
            </w:r>
          </w:p>
        </w:tc>
      </w:tr>
      <w:tr w:rsidR="00F32399" w14:paraId="68617789" w14:textId="77777777" w:rsidTr="00F32399">
        <w:tc>
          <w:tcPr>
            <w:tcW w:w="350" w:type="dxa"/>
            <w:vAlign w:val="center"/>
          </w:tcPr>
          <w:p w14:paraId="45E6FC70" w14:textId="77777777" w:rsidR="00F32399" w:rsidRPr="00F50611" w:rsidRDefault="00F32399" w:rsidP="0033081C">
            <w:pPr>
              <w:jc w:val="center"/>
              <w:rPr>
                <w:rFonts w:ascii="Arial" w:hAnsi="Arial" w:cs="Arial"/>
                <w:sz w:val="20"/>
                <w:szCs w:val="20"/>
              </w:rPr>
            </w:pPr>
            <w:r w:rsidRPr="00F50611">
              <w:rPr>
                <w:rFonts w:ascii="Arial" w:hAnsi="Arial" w:cs="Arial"/>
                <w:sz w:val="20"/>
                <w:szCs w:val="20"/>
              </w:rPr>
              <w:t>5</w:t>
            </w:r>
          </w:p>
        </w:tc>
        <w:tc>
          <w:tcPr>
            <w:tcW w:w="3232" w:type="dxa"/>
            <w:vAlign w:val="center"/>
          </w:tcPr>
          <w:p w14:paraId="496F28C2" w14:textId="77777777" w:rsidR="00F32399" w:rsidRPr="00F50611" w:rsidRDefault="00F32399" w:rsidP="0033081C">
            <w:pPr>
              <w:jc w:val="center"/>
              <w:rPr>
                <w:rFonts w:ascii="Arial" w:hAnsi="Arial" w:cs="Arial"/>
                <w:color w:val="000000" w:themeColor="text1"/>
                <w:sz w:val="20"/>
                <w:szCs w:val="20"/>
              </w:rPr>
            </w:pPr>
            <w:r>
              <w:rPr>
                <w:rFonts w:ascii="Arial" w:hAnsi="Arial" w:cs="Arial"/>
                <w:color w:val="000000" w:themeColor="text1"/>
                <w:sz w:val="20"/>
                <w:szCs w:val="20"/>
              </w:rPr>
              <w:t>Land at former Blackthorns Nursing Home 122/032227/FUL</w:t>
            </w:r>
          </w:p>
        </w:tc>
        <w:tc>
          <w:tcPr>
            <w:tcW w:w="1271" w:type="dxa"/>
            <w:vAlign w:val="center"/>
          </w:tcPr>
          <w:p w14:paraId="487B6CAC" w14:textId="77777777" w:rsidR="00F32399" w:rsidRPr="00F50611" w:rsidRDefault="00F32399" w:rsidP="0033081C">
            <w:pPr>
              <w:jc w:val="center"/>
              <w:rPr>
                <w:rFonts w:ascii="Arial" w:hAnsi="Arial" w:cs="Arial"/>
                <w:color w:val="000000" w:themeColor="text1"/>
                <w:sz w:val="20"/>
                <w:szCs w:val="20"/>
              </w:rPr>
            </w:pPr>
            <w:r>
              <w:rPr>
                <w:rFonts w:ascii="Arial" w:hAnsi="Arial" w:cs="Arial"/>
                <w:color w:val="000000" w:themeColor="text1"/>
                <w:sz w:val="20"/>
                <w:szCs w:val="20"/>
              </w:rPr>
              <w:t>28,800/ 25,271.75</w:t>
            </w:r>
          </w:p>
        </w:tc>
        <w:tc>
          <w:tcPr>
            <w:tcW w:w="1125" w:type="dxa"/>
            <w:vAlign w:val="center"/>
          </w:tcPr>
          <w:p w14:paraId="4204E64A" w14:textId="77777777" w:rsidR="00F32399" w:rsidRPr="00F50611" w:rsidRDefault="00F32399" w:rsidP="0033081C">
            <w:pPr>
              <w:jc w:val="center"/>
              <w:rPr>
                <w:rFonts w:ascii="Arial" w:hAnsi="Arial" w:cs="Arial"/>
                <w:color w:val="000000" w:themeColor="text1"/>
                <w:sz w:val="20"/>
                <w:szCs w:val="20"/>
              </w:rPr>
            </w:pPr>
            <w:r>
              <w:rPr>
                <w:rFonts w:ascii="Arial" w:hAnsi="Arial" w:cs="Arial"/>
                <w:color w:val="000000" w:themeColor="text1"/>
                <w:sz w:val="20"/>
                <w:szCs w:val="20"/>
              </w:rPr>
              <w:t>MSDC</w:t>
            </w:r>
          </w:p>
        </w:tc>
        <w:tc>
          <w:tcPr>
            <w:tcW w:w="8912" w:type="dxa"/>
            <w:vAlign w:val="center"/>
          </w:tcPr>
          <w:p w14:paraId="0DD0D481" w14:textId="41455AC6" w:rsidR="00F32399" w:rsidRPr="00D80B81" w:rsidRDefault="00F32399" w:rsidP="0033081C">
            <w:pPr>
              <w:pStyle w:val="ListParagraph"/>
              <w:numPr>
                <w:ilvl w:val="0"/>
                <w:numId w:val="15"/>
              </w:numPr>
              <w:rPr>
                <w:rFonts w:ascii="Arial" w:hAnsi="Arial" w:cs="Arial"/>
                <w:color w:val="000000"/>
                <w:sz w:val="20"/>
                <w:szCs w:val="20"/>
              </w:rPr>
            </w:pPr>
            <w:r>
              <w:rPr>
                <w:rFonts w:ascii="Arial" w:hAnsi="Arial" w:cs="Arial"/>
                <w:color w:val="000000" w:themeColor="text1"/>
                <w:sz w:val="20"/>
                <w:szCs w:val="20"/>
              </w:rPr>
              <w:t>Categorised -</w:t>
            </w:r>
            <w:r w:rsidRPr="00E23768">
              <w:rPr>
                <w:rFonts w:ascii="Arial" w:hAnsi="Arial" w:cs="Arial"/>
                <w:color w:val="000000" w:themeColor="text1"/>
                <w:sz w:val="20"/>
                <w:szCs w:val="20"/>
              </w:rPr>
              <w:t xml:space="preserve"> Lindfield, Sustainable Transport.  </w:t>
            </w:r>
            <w:r>
              <w:rPr>
                <w:rFonts w:ascii="Arial" w:hAnsi="Arial" w:cs="Arial"/>
                <w:color w:val="000000" w:themeColor="text1"/>
                <w:sz w:val="20"/>
                <w:szCs w:val="20"/>
              </w:rPr>
              <w:t>MSDC have advised</w:t>
            </w:r>
            <w:r w:rsidRPr="00E23768">
              <w:rPr>
                <w:rFonts w:ascii="Arial" w:hAnsi="Arial" w:cs="Arial"/>
                <w:color w:val="000000" w:themeColor="text1"/>
                <w:sz w:val="20"/>
                <w:szCs w:val="20"/>
              </w:rPr>
              <w:t xml:space="preserve"> “</w:t>
            </w:r>
            <w:r>
              <w:rPr>
                <w:rFonts w:ascii="Arial" w:hAnsi="Arial" w:cs="Arial"/>
                <w:color w:val="000000"/>
                <w:sz w:val="20"/>
                <w:szCs w:val="20"/>
              </w:rPr>
              <w:t>…</w:t>
            </w:r>
            <w:r w:rsidRPr="00E23768">
              <w:rPr>
                <w:rFonts w:ascii="Arial" w:hAnsi="Arial" w:cs="Arial"/>
                <w:color w:val="000000"/>
                <w:sz w:val="20"/>
                <w:szCs w:val="20"/>
              </w:rPr>
              <w:t xml:space="preserve"> there is £25k sustainable transport  available, however, due to the location of the development and the location of the TRO </w:t>
            </w:r>
            <w:r>
              <w:rPr>
                <w:rFonts w:ascii="Arial" w:hAnsi="Arial" w:cs="Arial"/>
                <w:color w:val="000000"/>
                <w:sz w:val="20"/>
                <w:szCs w:val="20"/>
              </w:rPr>
              <w:t>…</w:t>
            </w:r>
            <w:r w:rsidRPr="00E23768">
              <w:rPr>
                <w:rFonts w:ascii="Arial" w:hAnsi="Arial" w:cs="Arial"/>
                <w:color w:val="000000"/>
                <w:sz w:val="20"/>
                <w:szCs w:val="20"/>
              </w:rPr>
              <w:t xml:space="preserve"> wouldn’t consider this appropriate use of funds”</w:t>
            </w:r>
          </w:p>
        </w:tc>
      </w:tr>
      <w:tr w:rsidR="00F32399" w14:paraId="28D7D249" w14:textId="77777777" w:rsidTr="00F32399">
        <w:tc>
          <w:tcPr>
            <w:tcW w:w="350" w:type="dxa"/>
            <w:vAlign w:val="center"/>
          </w:tcPr>
          <w:p w14:paraId="7E33A466" w14:textId="77777777" w:rsidR="00F32399" w:rsidRPr="007D7964" w:rsidRDefault="00F32399" w:rsidP="0033081C">
            <w:pPr>
              <w:jc w:val="center"/>
              <w:rPr>
                <w:rFonts w:ascii="Arial" w:hAnsi="Arial" w:cs="Arial"/>
                <w:color w:val="808080" w:themeColor="background1" w:themeShade="80"/>
                <w:sz w:val="20"/>
                <w:szCs w:val="20"/>
              </w:rPr>
            </w:pPr>
            <w:r w:rsidRPr="007D7964">
              <w:rPr>
                <w:rFonts w:ascii="Arial" w:hAnsi="Arial" w:cs="Arial"/>
                <w:color w:val="808080" w:themeColor="background1" w:themeShade="80"/>
                <w:sz w:val="20"/>
                <w:szCs w:val="20"/>
              </w:rPr>
              <w:t>6</w:t>
            </w:r>
          </w:p>
        </w:tc>
        <w:tc>
          <w:tcPr>
            <w:tcW w:w="3232" w:type="dxa"/>
            <w:vAlign w:val="center"/>
          </w:tcPr>
          <w:p w14:paraId="1E36D0E5" w14:textId="77777777" w:rsidR="00F32399" w:rsidRPr="007D7964" w:rsidRDefault="00F32399" w:rsidP="0033081C">
            <w:pPr>
              <w:jc w:val="center"/>
              <w:rPr>
                <w:rFonts w:ascii="Arial" w:hAnsi="Arial" w:cs="Arial"/>
                <w:color w:val="808080" w:themeColor="background1" w:themeShade="80"/>
                <w:sz w:val="20"/>
                <w:szCs w:val="20"/>
              </w:rPr>
            </w:pPr>
            <w:r w:rsidRPr="007D7964">
              <w:rPr>
                <w:rFonts w:ascii="Arial" w:hAnsi="Arial" w:cs="Arial"/>
                <w:color w:val="808080" w:themeColor="background1" w:themeShade="80"/>
                <w:sz w:val="20"/>
                <w:szCs w:val="20"/>
              </w:rPr>
              <w:t xml:space="preserve">DM/16/5648 Land East of </w:t>
            </w:r>
            <w:proofErr w:type="spellStart"/>
            <w:r w:rsidRPr="007D7964">
              <w:rPr>
                <w:rFonts w:ascii="Arial" w:hAnsi="Arial" w:cs="Arial"/>
                <w:color w:val="808080" w:themeColor="background1" w:themeShade="80"/>
                <w:sz w:val="20"/>
                <w:szCs w:val="20"/>
              </w:rPr>
              <w:t>Grav</w:t>
            </w:r>
            <w:r>
              <w:rPr>
                <w:rFonts w:ascii="Arial" w:hAnsi="Arial" w:cs="Arial"/>
                <w:color w:val="808080" w:themeColor="background1" w:themeShade="80"/>
                <w:sz w:val="20"/>
                <w:szCs w:val="20"/>
              </w:rPr>
              <w:t>e</w:t>
            </w:r>
            <w:r w:rsidRPr="007D7964">
              <w:rPr>
                <w:rFonts w:ascii="Arial" w:hAnsi="Arial" w:cs="Arial"/>
                <w:color w:val="808080" w:themeColor="background1" w:themeShade="80"/>
                <w:sz w:val="20"/>
                <w:szCs w:val="20"/>
              </w:rPr>
              <w:t>lye</w:t>
            </w:r>
            <w:proofErr w:type="spellEnd"/>
            <w:r w:rsidRPr="007D7964">
              <w:rPr>
                <w:rFonts w:ascii="Arial" w:hAnsi="Arial" w:cs="Arial"/>
                <w:color w:val="808080" w:themeColor="background1" w:themeShade="80"/>
                <w:sz w:val="20"/>
                <w:szCs w:val="20"/>
              </w:rPr>
              <w:t xml:space="preserve"> Lane</w:t>
            </w:r>
          </w:p>
        </w:tc>
        <w:tc>
          <w:tcPr>
            <w:tcW w:w="1271" w:type="dxa"/>
            <w:vAlign w:val="center"/>
          </w:tcPr>
          <w:p w14:paraId="37F8B423" w14:textId="77777777" w:rsidR="00F32399" w:rsidRPr="007D7964" w:rsidRDefault="00F32399" w:rsidP="0033081C">
            <w:pPr>
              <w:jc w:val="center"/>
              <w:rPr>
                <w:rFonts w:ascii="Arial" w:hAnsi="Arial" w:cs="Arial"/>
                <w:color w:val="808080" w:themeColor="background1" w:themeShade="80"/>
                <w:sz w:val="20"/>
                <w:szCs w:val="20"/>
              </w:rPr>
            </w:pPr>
            <w:r w:rsidRPr="007D7964">
              <w:rPr>
                <w:rFonts w:ascii="Arial" w:hAnsi="Arial" w:cs="Arial"/>
                <w:color w:val="808080" w:themeColor="background1" w:themeShade="80"/>
                <w:sz w:val="20"/>
                <w:szCs w:val="20"/>
              </w:rPr>
              <w:t>30,324.40</w:t>
            </w:r>
          </w:p>
        </w:tc>
        <w:tc>
          <w:tcPr>
            <w:tcW w:w="1125" w:type="dxa"/>
            <w:vAlign w:val="center"/>
          </w:tcPr>
          <w:p w14:paraId="5B237F7A" w14:textId="77777777" w:rsidR="00F32399" w:rsidRPr="007D7964" w:rsidRDefault="00F32399" w:rsidP="0033081C">
            <w:pPr>
              <w:jc w:val="center"/>
              <w:rPr>
                <w:rFonts w:ascii="Arial" w:hAnsi="Arial" w:cs="Arial"/>
                <w:color w:val="808080" w:themeColor="background1" w:themeShade="80"/>
                <w:sz w:val="20"/>
                <w:szCs w:val="20"/>
              </w:rPr>
            </w:pPr>
            <w:r w:rsidRPr="007D7964">
              <w:rPr>
                <w:rFonts w:ascii="Arial" w:hAnsi="Arial" w:cs="Arial"/>
                <w:color w:val="808080" w:themeColor="background1" w:themeShade="80"/>
                <w:sz w:val="20"/>
                <w:szCs w:val="20"/>
              </w:rPr>
              <w:t>MSDC</w:t>
            </w:r>
          </w:p>
        </w:tc>
        <w:tc>
          <w:tcPr>
            <w:tcW w:w="8912" w:type="dxa"/>
            <w:vAlign w:val="center"/>
          </w:tcPr>
          <w:p w14:paraId="7BDE4036" w14:textId="77777777" w:rsidR="00F32399" w:rsidRPr="007D7964" w:rsidRDefault="00F32399" w:rsidP="00DF5F97">
            <w:pPr>
              <w:pStyle w:val="ListParagraph"/>
              <w:numPr>
                <w:ilvl w:val="0"/>
                <w:numId w:val="15"/>
              </w:numPr>
              <w:rPr>
                <w:rFonts w:ascii="Arial" w:hAnsi="Arial" w:cs="Arial"/>
                <w:color w:val="808080" w:themeColor="background1" w:themeShade="80"/>
                <w:sz w:val="20"/>
                <w:szCs w:val="20"/>
              </w:rPr>
            </w:pPr>
            <w:r w:rsidRPr="007D7964">
              <w:rPr>
                <w:rFonts w:ascii="Arial" w:hAnsi="Arial" w:cs="Arial"/>
                <w:color w:val="808080" w:themeColor="background1" w:themeShade="80"/>
                <w:sz w:val="20"/>
                <w:szCs w:val="20"/>
              </w:rPr>
              <w:t>Under Lindfield Rural, Local Community Infrastructure.  Earmarked for Lindfield Common Toilets</w:t>
            </w:r>
          </w:p>
        </w:tc>
      </w:tr>
      <w:tr w:rsidR="00F32399" w14:paraId="632F91AF" w14:textId="77777777" w:rsidTr="00F32399">
        <w:tc>
          <w:tcPr>
            <w:tcW w:w="350" w:type="dxa"/>
            <w:vAlign w:val="center"/>
          </w:tcPr>
          <w:p w14:paraId="7AAAF004" w14:textId="77777777" w:rsidR="00F32399" w:rsidRPr="007D7964" w:rsidRDefault="00F32399" w:rsidP="0033081C">
            <w:pPr>
              <w:jc w:val="center"/>
              <w:rPr>
                <w:rFonts w:ascii="Arial" w:hAnsi="Arial" w:cs="Arial"/>
                <w:color w:val="808080" w:themeColor="background1" w:themeShade="80"/>
                <w:sz w:val="20"/>
                <w:szCs w:val="20"/>
              </w:rPr>
            </w:pPr>
            <w:r w:rsidRPr="007D7964">
              <w:rPr>
                <w:rFonts w:ascii="Arial" w:hAnsi="Arial" w:cs="Arial"/>
                <w:color w:val="808080" w:themeColor="background1" w:themeShade="80"/>
                <w:sz w:val="20"/>
                <w:szCs w:val="20"/>
              </w:rPr>
              <w:t>7</w:t>
            </w:r>
          </w:p>
        </w:tc>
        <w:tc>
          <w:tcPr>
            <w:tcW w:w="3232" w:type="dxa"/>
            <w:vAlign w:val="center"/>
          </w:tcPr>
          <w:p w14:paraId="0AC6BDD2" w14:textId="77777777" w:rsidR="00F32399" w:rsidRPr="007D7964" w:rsidRDefault="00F32399" w:rsidP="0033081C">
            <w:pPr>
              <w:jc w:val="center"/>
              <w:rPr>
                <w:rFonts w:ascii="Arial" w:hAnsi="Arial" w:cs="Arial"/>
                <w:color w:val="808080" w:themeColor="background1" w:themeShade="80"/>
                <w:sz w:val="20"/>
                <w:szCs w:val="20"/>
              </w:rPr>
            </w:pPr>
            <w:r w:rsidRPr="007D7964">
              <w:rPr>
                <w:rFonts w:ascii="Arial" w:hAnsi="Arial" w:cs="Arial"/>
                <w:color w:val="808080" w:themeColor="background1" w:themeShade="80"/>
                <w:sz w:val="20"/>
                <w:szCs w:val="20"/>
              </w:rPr>
              <w:t>DM/16/3119 Land at Barn Cottage, Lewes Road</w:t>
            </w:r>
          </w:p>
        </w:tc>
        <w:tc>
          <w:tcPr>
            <w:tcW w:w="1271" w:type="dxa"/>
            <w:vAlign w:val="center"/>
          </w:tcPr>
          <w:p w14:paraId="056CD837" w14:textId="77777777" w:rsidR="00F32399" w:rsidRPr="007D7964" w:rsidRDefault="00F32399" w:rsidP="0033081C">
            <w:pPr>
              <w:jc w:val="center"/>
              <w:rPr>
                <w:rFonts w:ascii="Arial" w:hAnsi="Arial" w:cs="Arial"/>
                <w:color w:val="808080" w:themeColor="background1" w:themeShade="80"/>
                <w:sz w:val="20"/>
                <w:szCs w:val="20"/>
              </w:rPr>
            </w:pPr>
            <w:r w:rsidRPr="007D7964">
              <w:rPr>
                <w:rFonts w:ascii="Arial" w:hAnsi="Arial" w:cs="Arial"/>
                <w:color w:val="808080" w:themeColor="background1" w:themeShade="80"/>
                <w:sz w:val="20"/>
                <w:szCs w:val="20"/>
              </w:rPr>
              <w:t>22,929.17</w:t>
            </w:r>
          </w:p>
        </w:tc>
        <w:tc>
          <w:tcPr>
            <w:tcW w:w="1125" w:type="dxa"/>
            <w:vAlign w:val="center"/>
          </w:tcPr>
          <w:p w14:paraId="3BAF6EED" w14:textId="77777777" w:rsidR="00F32399" w:rsidRPr="007D7964" w:rsidRDefault="00F32399" w:rsidP="0033081C">
            <w:pPr>
              <w:jc w:val="center"/>
              <w:rPr>
                <w:rFonts w:ascii="Arial" w:hAnsi="Arial" w:cs="Arial"/>
                <w:color w:val="808080" w:themeColor="background1" w:themeShade="80"/>
                <w:sz w:val="20"/>
                <w:szCs w:val="20"/>
              </w:rPr>
            </w:pPr>
            <w:r w:rsidRPr="007D7964">
              <w:rPr>
                <w:rFonts w:ascii="Arial" w:hAnsi="Arial" w:cs="Arial"/>
                <w:color w:val="808080" w:themeColor="background1" w:themeShade="80"/>
                <w:sz w:val="20"/>
                <w:szCs w:val="20"/>
              </w:rPr>
              <w:t>MSDC</w:t>
            </w:r>
          </w:p>
        </w:tc>
        <w:tc>
          <w:tcPr>
            <w:tcW w:w="8912" w:type="dxa"/>
            <w:vAlign w:val="center"/>
          </w:tcPr>
          <w:p w14:paraId="543F55BC" w14:textId="77777777" w:rsidR="00F32399" w:rsidRPr="007D7964" w:rsidRDefault="00F32399" w:rsidP="00DF5F97">
            <w:pPr>
              <w:pStyle w:val="ListParagraph"/>
              <w:numPr>
                <w:ilvl w:val="0"/>
                <w:numId w:val="15"/>
              </w:numPr>
              <w:rPr>
                <w:rFonts w:ascii="Arial" w:hAnsi="Arial" w:cs="Arial"/>
                <w:color w:val="808080" w:themeColor="background1" w:themeShade="80"/>
                <w:sz w:val="20"/>
                <w:szCs w:val="20"/>
              </w:rPr>
            </w:pPr>
            <w:r w:rsidRPr="007D7964">
              <w:rPr>
                <w:rFonts w:ascii="Arial" w:hAnsi="Arial" w:cs="Arial"/>
                <w:color w:val="808080" w:themeColor="background1" w:themeShade="80"/>
                <w:sz w:val="20"/>
                <w:szCs w:val="20"/>
              </w:rPr>
              <w:t xml:space="preserve">Under Lindfield Rural, Local Community Infrastructure.  Earmarked for </w:t>
            </w:r>
            <w:proofErr w:type="spellStart"/>
            <w:r w:rsidRPr="007D7964">
              <w:rPr>
                <w:rFonts w:ascii="Arial" w:hAnsi="Arial" w:cs="Arial"/>
                <w:color w:val="808080" w:themeColor="background1" w:themeShade="80"/>
                <w:sz w:val="20"/>
                <w:szCs w:val="20"/>
              </w:rPr>
              <w:t>Scaynes</w:t>
            </w:r>
            <w:proofErr w:type="spellEnd"/>
            <w:r w:rsidRPr="007D7964">
              <w:rPr>
                <w:rFonts w:ascii="Arial" w:hAnsi="Arial" w:cs="Arial"/>
                <w:color w:val="808080" w:themeColor="background1" w:themeShade="80"/>
                <w:sz w:val="20"/>
                <w:szCs w:val="20"/>
              </w:rPr>
              <w:t xml:space="preserve"> Hill Toilets</w:t>
            </w:r>
          </w:p>
        </w:tc>
      </w:tr>
    </w:tbl>
    <w:p w14:paraId="39DC06D3" w14:textId="3929C75D" w:rsidR="00D1477D" w:rsidRPr="000E2A8C" w:rsidRDefault="00D1477D" w:rsidP="009C554A">
      <w:pPr>
        <w:rPr>
          <w:rFonts w:ascii="Arial" w:hAnsi="Arial" w:cs="Arial"/>
          <w:b/>
        </w:rPr>
      </w:pPr>
    </w:p>
    <w:sectPr w:rsidR="00D1477D" w:rsidRPr="000E2A8C" w:rsidSect="00736923">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D4B07" w14:textId="77777777" w:rsidR="0008523E" w:rsidRDefault="0008523E" w:rsidP="00596ECC">
      <w:r>
        <w:separator/>
      </w:r>
    </w:p>
  </w:endnote>
  <w:endnote w:type="continuationSeparator" w:id="0">
    <w:p w14:paraId="7D1FE904" w14:textId="77777777" w:rsidR="0008523E" w:rsidRDefault="0008523E" w:rsidP="0059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B950" w14:textId="77777777" w:rsidR="009C554A" w:rsidRPr="00846ADC" w:rsidRDefault="009C554A" w:rsidP="009C554A">
    <w:pPr>
      <w:pStyle w:val="Footer"/>
      <w:jc w:val="center"/>
      <w:rPr>
        <w:rFonts w:ascii="Arial" w:hAnsi="Arial" w:cs="Arial"/>
        <w:sz w:val="16"/>
        <w:szCs w:val="16"/>
      </w:rPr>
    </w:pPr>
    <w:r w:rsidRPr="00846ADC">
      <w:rPr>
        <w:rFonts w:ascii="Arial" w:hAnsi="Arial" w:cs="Arial"/>
        <w:sz w:val="16"/>
        <w:szCs w:val="16"/>
      </w:rPr>
      <w:t xml:space="preserve">Page </w:t>
    </w:r>
    <w:r w:rsidR="006324B0" w:rsidRPr="00846ADC">
      <w:rPr>
        <w:rFonts w:ascii="Arial" w:hAnsi="Arial" w:cs="Arial"/>
        <w:sz w:val="16"/>
        <w:szCs w:val="16"/>
      </w:rPr>
      <w:fldChar w:fldCharType="begin"/>
    </w:r>
    <w:r w:rsidR="006324B0" w:rsidRPr="00846ADC">
      <w:rPr>
        <w:rFonts w:ascii="Arial" w:hAnsi="Arial" w:cs="Arial"/>
        <w:sz w:val="16"/>
        <w:szCs w:val="16"/>
      </w:rPr>
      <w:instrText xml:space="preserve"> PAGE   \* MERGEFORMAT </w:instrText>
    </w:r>
    <w:r w:rsidR="006324B0" w:rsidRPr="00846ADC">
      <w:rPr>
        <w:rFonts w:ascii="Arial" w:hAnsi="Arial" w:cs="Arial"/>
        <w:sz w:val="16"/>
        <w:szCs w:val="16"/>
      </w:rPr>
      <w:fldChar w:fldCharType="separate"/>
    </w:r>
    <w:r w:rsidR="008B4524">
      <w:rPr>
        <w:rFonts w:ascii="Arial" w:hAnsi="Arial" w:cs="Arial"/>
        <w:noProof/>
        <w:sz w:val="16"/>
        <w:szCs w:val="16"/>
      </w:rPr>
      <w:t>1</w:t>
    </w:r>
    <w:r w:rsidR="006324B0" w:rsidRPr="00846ADC">
      <w:rPr>
        <w:rFonts w:ascii="Arial" w:hAnsi="Arial" w:cs="Arial"/>
        <w:noProof/>
        <w:sz w:val="16"/>
        <w:szCs w:val="16"/>
      </w:rPr>
      <w:fldChar w:fldCharType="end"/>
    </w:r>
    <w:r w:rsidRPr="00846ADC">
      <w:rPr>
        <w:rFonts w:ascii="Arial" w:hAnsi="Arial" w:cs="Arial"/>
        <w:sz w:val="16"/>
        <w:szCs w:val="16"/>
      </w:rPr>
      <w:t xml:space="preserve"> of </w:t>
    </w:r>
    <w:r w:rsidRPr="00846ADC">
      <w:rPr>
        <w:rFonts w:ascii="Arial" w:hAnsi="Arial" w:cs="Arial"/>
        <w:sz w:val="16"/>
        <w:szCs w:val="16"/>
      </w:rPr>
      <w:fldChar w:fldCharType="begin"/>
    </w:r>
    <w:r w:rsidRPr="00846ADC">
      <w:rPr>
        <w:rFonts w:ascii="Arial" w:hAnsi="Arial" w:cs="Arial"/>
        <w:sz w:val="16"/>
        <w:szCs w:val="16"/>
      </w:rPr>
      <w:instrText xml:space="preserve"> NUMPAGES  \# "0"  \* MERGEFORMAT </w:instrText>
    </w:r>
    <w:r w:rsidRPr="00846ADC">
      <w:rPr>
        <w:rFonts w:ascii="Arial" w:hAnsi="Arial" w:cs="Arial"/>
        <w:sz w:val="16"/>
        <w:szCs w:val="16"/>
      </w:rPr>
      <w:fldChar w:fldCharType="separate"/>
    </w:r>
    <w:r w:rsidR="008B4524">
      <w:rPr>
        <w:rFonts w:ascii="Arial" w:hAnsi="Arial" w:cs="Arial"/>
        <w:noProof/>
        <w:sz w:val="16"/>
        <w:szCs w:val="16"/>
      </w:rPr>
      <w:t>1</w:t>
    </w:r>
    <w:r w:rsidRPr="00846AD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98D1" w14:textId="77777777" w:rsidR="00341F9C" w:rsidRPr="00846ADC" w:rsidRDefault="00341F9C" w:rsidP="009C554A">
    <w:pPr>
      <w:pStyle w:val="Footer"/>
      <w:jc w:val="center"/>
      <w:rPr>
        <w:rFonts w:ascii="Arial" w:hAnsi="Arial" w:cs="Arial"/>
        <w:sz w:val="16"/>
        <w:szCs w:val="16"/>
      </w:rPr>
    </w:pPr>
    <w:r w:rsidRPr="00846ADC">
      <w:rPr>
        <w:rFonts w:ascii="Arial" w:hAnsi="Arial" w:cs="Arial"/>
        <w:sz w:val="16"/>
        <w:szCs w:val="16"/>
      </w:rPr>
      <w:t xml:space="preserve">Page </w:t>
    </w:r>
    <w:r w:rsidRPr="00846ADC">
      <w:rPr>
        <w:rFonts w:ascii="Arial" w:hAnsi="Arial" w:cs="Arial"/>
        <w:sz w:val="16"/>
        <w:szCs w:val="16"/>
      </w:rPr>
      <w:fldChar w:fldCharType="begin"/>
    </w:r>
    <w:r w:rsidRPr="00846ADC">
      <w:rPr>
        <w:rFonts w:ascii="Arial" w:hAnsi="Arial" w:cs="Arial"/>
        <w:sz w:val="16"/>
        <w:szCs w:val="16"/>
      </w:rPr>
      <w:instrText xml:space="preserve"> PAGE   \* MERGEFORMAT </w:instrText>
    </w:r>
    <w:r w:rsidRPr="00846ADC">
      <w:rPr>
        <w:rFonts w:ascii="Arial" w:hAnsi="Arial" w:cs="Arial"/>
        <w:sz w:val="16"/>
        <w:szCs w:val="16"/>
      </w:rPr>
      <w:fldChar w:fldCharType="separate"/>
    </w:r>
    <w:r>
      <w:rPr>
        <w:rFonts w:ascii="Arial" w:hAnsi="Arial" w:cs="Arial"/>
        <w:noProof/>
        <w:sz w:val="16"/>
        <w:szCs w:val="16"/>
      </w:rPr>
      <w:t>1</w:t>
    </w:r>
    <w:r w:rsidRPr="00846ADC">
      <w:rPr>
        <w:rFonts w:ascii="Arial" w:hAnsi="Arial" w:cs="Arial"/>
        <w:noProof/>
        <w:sz w:val="16"/>
        <w:szCs w:val="16"/>
      </w:rPr>
      <w:fldChar w:fldCharType="end"/>
    </w:r>
    <w:r w:rsidRPr="00846ADC">
      <w:rPr>
        <w:rFonts w:ascii="Arial" w:hAnsi="Arial" w:cs="Arial"/>
        <w:sz w:val="16"/>
        <w:szCs w:val="16"/>
      </w:rPr>
      <w:t xml:space="preserve"> of </w:t>
    </w:r>
    <w:r w:rsidRPr="00846ADC">
      <w:rPr>
        <w:rFonts w:ascii="Arial" w:hAnsi="Arial" w:cs="Arial"/>
        <w:sz w:val="16"/>
        <w:szCs w:val="16"/>
      </w:rPr>
      <w:fldChar w:fldCharType="begin"/>
    </w:r>
    <w:r w:rsidRPr="00846ADC">
      <w:rPr>
        <w:rFonts w:ascii="Arial" w:hAnsi="Arial" w:cs="Arial"/>
        <w:sz w:val="16"/>
        <w:szCs w:val="16"/>
      </w:rPr>
      <w:instrText xml:space="preserve"> NUMPAGES  \# "0"  \* MERGEFORMAT </w:instrText>
    </w:r>
    <w:r w:rsidRPr="00846ADC">
      <w:rPr>
        <w:rFonts w:ascii="Arial" w:hAnsi="Arial" w:cs="Arial"/>
        <w:sz w:val="16"/>
        <w:szCs w:val="16"/>
      </w:rPr>
      <w:fldChar w:fldCharType="separate"/>
    </w:r>
    <w:r>
      <w:rPr>
        <w:rFonts w:ascii="Arial" w:hAnsi="Arial" w:cs="Arial"/>
        <w:noProof/>
        <w:sz w:val="16"/>
        <w:szCs w:val="16"/>
      </w:rPr>
      <w:t>1</w:t>
    </w:r>
    <w:r w:rsidRPr="00846AD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031D" w14:textId="77777777" w:rsidR="0008523E" w:rsidRDefault="0008523E" w:rsidP="00596ECC">
      <w:r>
        <w:separator/>
      </w:r>
    </w:p>
  </w:footnote>
  <w:footnote w:type="continuationSeparator" w:id="0">
    <w:p w14:paraId="79ADD06B" w14:textId="77777777" w:rsidR="0008523E" w:rsidRDefault="0008523E" w:rsidP="0059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4DF3" w14:textId="77777777" w:rsidR="00041FA0" w:rsidRDefault="00041FA0" w:rsidP="00041FA0">
    <w:pPr>
      <w:pStyle w:val="Footer"/>
      <w:rPr>
        <w:rFonts w:ascii="Arial" w:hAnsi="Arial" w:cs="Arial"/>
        <w:b/>
      </w:rPr>
    </w:pPr>
  </w:p>
  <w:tbl>
    <w:tblPr>
      <w:tblStyle w:val="TableGrid"/>
      <w:tblW w:w="9072" w:type="dxa"/>
      <w:tblInd w:w="108" w:type="dxa"/>
      <w:tblLayout w:type="fixed"/>
      <w:tblLook w:val="04A0" w:firstRow="1" w:lastRow="0" w:firstColumn="1" w:lastColumn="0" w:noHBand="0" w:noVBand="1"/>
    </w:tblPr>
    <w:tblGrid>
      <w:gridCol w:w="5954"/>
      <w:gridCol w:w="1417"/>
      <w:gridCol w:w="1701"/>
    </w:tblGrid>
    <w:tr w:rsidR="00F865AB" w:rsidRPr="00E65CEF" w14:paraId="0BEF287D" w14:textId="77777777" w:rsidTr="00F865AB">
      <w:tc>
        <w:tcPr>
          <w:tcW w:w="5954" w:type="dxa"/>
          <w:tcBorders>
            <w:top w:val="nil"/>
            <w:left w:val="nil"/>
            <w:bottom w:val="nil"/>
            <w:right w:val="single" w:sz="4" w:space="0" w:color="auto"/>
          </w:tcBorders>
        </w:tcPr>
        <w:p w14:paraId="570C2F8E" w14:textId="77777777" w:rsidR="00F865AB" w:rsidRPr="00E65CEF" w:rsidRDefault="00F865AB">
          <w:pPr>
            <w:pStyle w:val="Header"/>
            <w:rPr>
              <w:rFonts w:ascii="Arial" w:hAnsi="Arial" w:cs="Arial"/>
            </w:rPr>
          </w:pPr>
          <w:r w:rsidRPr="009C554A">
            <w:rPr>
              <w:rFonts w:ascii="Arial" w:hAnsi="Arial" w:cs="Arial"/>
              <w:b/>
            </w:rPr>
            <w:t>Lindfield Parish Council</w:t>
          </w:r>
        </w:p>
      </w:tc>
      <w:tc>
        <w:tcPr>
          <w:tcW w:w="1417" w:type="dxa"/>
          <w:tcBorders>
            <w:left w:val="single" w:sz="4" w:space="0" w:color="auto"/>
          </w:tcBorders>
        </w:tcPr>
        <w:p w14:paraId="098930FB" w14:textId="77777777" w:rsidR="00F865AB" w:rsidRPr="00E65CEF" w:rsidRDefault="00F865AB">
          <w:pPr>
            <w:pStyle w:val="Header"/>
            <w:rPr>
              <w:rFonts w:ascii="Arial" w:hAnsi="Arial" w:cs="Arial"/>
            </w:rPr>
          </w:pPr>
          <w:r w:rsidRPr="00E65CEF">
            <w:rPr>
              <w:rFonts w:ascii="Arial" w:hAnsi="Arial" w:cs="Arial"/>
            </w:rPr>
            <w:t>Committee</w:t>
          </w:r>
          <w:r w:rsidRPr="00E65CEF">
            <w:rPr>
              <w:rFonts w:ascii="Arial" w:hAnsi="Arial" w:cs="Arial"/>
            </w:rPr>
            <w:tab/>
          </w:r>
        </w:p>
      </w:tc>
      <w:tc>
        <w:tcPr>
          <w:tcW w:w="1701" w:type="dxa"/>
        </w:tcPr>
        <w:p w14:paraId="6F28D137" w14:textId="4417396A" w:rsidR="00F865AB" w:rsidRPr="00E65CEF" w:rsidRDefault="001F7B75">
          <w:pPr>
            <w:pStyle w:val="Header"/>
            <w:rPr>
              <w:rFonts w:ascii="Arial" w:hAnsi="Arial" w:cs="Arial"/>
            </w:rPr>
          </w:pPr>
          <w:r>
            <w:rPr>
              <w:rFonts w:ascii="Arial" w:hAnsi="Arial" w:cs="Arial"/>
            </w:rPr>
            <w:t>P&amp;TC</w:t>
          </w:r>
        </w:p>
      </w:tc>
    </w:tr>
    <w:tr w:rsidR="00F865AB" w:rsidRPr="00E65CEF" w14:paraId="130A3FBB" w14:textId="77777777" w:rsidTr="00F865AB">
      <w:tc>
        <w:tcPr>
          <w:tcW w:w="5954" w:type="dxa"/>
          <w:tcBorders>
            <w:top w:val="nil"/>
            <w:left w:val="nil"/>
            <w:bottom w:val="nil"/>
            <w:right w:val="single" w:sz="4" w:space="0" w:color="auto"/>
          </w:tcBorders>
        </w:tcPr>
        <w:p w14:paraId="70F10079" w14:textId="77777777" w:rsidR="00F865AB" w:rsidRPr="00E65CEF" w:rsidRDefault="00F865AB">
          <w:pPr>
            <w:pStyle w:val="Header"/>
            <w:rPr>
              <w:rFonts w:ascii="Arial" w:hAnsi="Arial" w:cs="Arial"/>
            </w:rPr>
          </w:pPr>
        </w:p>
      </w:tc>
      <w:tc>
        <w:tcPr>
          <w:tcW w:w="1417" w:type="dxa"/>
          <w:tcBorders>
            <w:left w:val="single" w:sz="4" w:space="0" w:color="auto"/>
          </w:tcBorders>
        </w:tcPr>
        <w:p w14:paraId="68AC2395" w14:textId="77777777" w:rsidR="00F865AB" w:rsidRPr="00E65CEF" w:rsidRDefault="00F865AB">
          <w:pPr>
            <w:pStyle w:val="Header"/>
            <w:rPr>
              <w:rFonts w:ascii="Arial" w:hAnsi="Arial" w:cs="Arial"/>
            </w:rPr>
          </w:pPr>
          <w:r>
            <w:rPr>
              <w:rFonts w:ascii="Arial" w:hAnsi="Arial" w:cs="Arial"/>
            </w:rPr>
            <w:t>Date</w:t>
          </w:r>
        </w:p>
      </w:tc>
      <w:tc>
        <w:tcPr>
          <w:tcW w:w="1701" w:type="dxa"/>
        </w:tcPr>
        <w:p w14:paraId="2EDDEE43" w14:textId="16616B36" w:rsidR="00F865AB" w:rsidRPr="00E65CEF" w:rsidRDefault="001F7B75">
          <w:pPr>
            <w:pStyle w:val="Header"/>
            <w:rPr>
              <w:rFonts w:ascii="Arial" w:hAnsi="Arial" w:cs="Arial"/>
            </w:rPr>
          </w:pPr>
          <w:r>
            <w:rPr>
              <w:rFonts w:ascii="Arial" w:hAnsi="Arial" w:cs="Arial"/>
            </w:rPr>
            <w:t>25/8/20</w:t>
          </w:r>
        </w:p>
      </w:tc>
    </w:tr>
    <w:tr w:rsidR="00F865AB" w:rsidRPr="00E65CEF" w14:paraId="5F0776FF" w14:textId="77777777" w:rsidTr="00F865AB">
      <w:tc>
        <w:tcPr>
          <w:tcW w:w="5954" w:type="dxa"/>
          <w:tcBorders>
            <w:top w:val="nil"/>
            <w:left w:val="nil"/>
            <w:bottom w:val="nil"/>
            <w:right w:val="single" w:sz="4" w:space="0" w:color="auto"/>
          </w:tcBorders>
        </w:tcPr>
        <w:p w14:paraId="0B3BB60A" w14:textId="77777777" w:rsidR="00F865AB" w:rsidRPr="00E65CEF" w:rsidRDefault="00F865AB">
          <w:pPr>
            <w:pStyle w:val="Header"/>
            <w:rPr>
              <w:rFonts w:ascii="Arial" w:hAnsi="Arial" w:cs="Arial"/>
            </w:rPr>
          </w:pPr>
        </w:p>
      </w:tc>
      <w:tc>
        <w:tcPr>
          <w:tcW w:w="1417" w:type="dxa"/>
          <w:tcBorders>
            <w:left w:val="single" w:sz="4" w:space="0" w:color="auto"/>
          </w:tcBorders>
        </w:tcPr>
        <w:p w14:paraId="0CC34D97" w14:textId="77777777" w:rsidR="00F865AB" w:rsidRPr="00E65CEF" w:rsidRDefault="00F865AB">
          <w:pPr>
            <w:pStyle w:val="Header"/>
            <w:rPr>
              <w:rFonts w:ascii="Arial" w:hAnsi="Arial" w:cs="Arial"/>
            </w:rPr>
          </w:pPr>
          <w:r w:rsidRPr="00E65CEF">
            <w:rPr>
              <w:rFonts w:ascii="Arial" w:hAnsi="Arial" w:cs="Arial"/>
            </w:rPr>
            <w:t>Item</w:t>
          </w:r>
        </w:p>
      </w:tc>
      <w:tc>
        <w:tcPr>
          <w:tcW w:w="1701" w:type="dxa"/>
        </w:tcPr>
        <w:p w14:paraId="3B8456EC" w14:textId="44DD4CB2" w:rsidR="00F865AB" w:rsidRPr="00E65CEF" w:rsidRDefault="00A23904" w:rsidP="00947248">
          <w:pPr>
            <w:pStyle w:val="Header"/>
            <w:tabs>
              <w:tab w:val="clear" w:pos="4513"/>
              <w:tab w:val="clear" w:pos="9026"/>
              <w:tab w:val="left" w:pos="477"/>
            </w:tabs>
            <w:rPr>
              <w:rFonts w:ascii="Arial" w:hAnsi="Arial" w:cs="Arial"/>
            </w:rPr>
          </w:pPr>
          <w:r>
            <w:rPr>
              <w:rFonts w:ascii="Arial" w:hAnsi="Arial" w:cs="Arial"/>
            </w:rPr>
            <w:t>6</w:t>
          </w:r>
        </w:p>
      </w:tc>
    </w:tr>
  </w:tbl>
  <w:p w14:paraId="3C6CF79E" w14:textId="77777777" w:rsidR="00041FA0" w:rsidRDefault="00041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2EC4" w14:textId="77777777" w:rsidR="005B3436" w:rsidRDefault="005B3436" w:rsidP="00041FA0">
    <w:pPr>
      <w:pStyle w:val="Footer"/>
      <w:rPr>
        <w:rFonts w:ascii="Arial" w:hAnsi="Arial" w:cs="Arial"/>
        <w:b/>
      </w:rPr>
    </w:pPr>
  </w:p>
  <w:tbl>
    <w:tblPr>
      <w:tblStyle w:val="TableGrid"/>
      <w:tblW w:w="9072" w:type="dxa"/>
      <w:tblInd w:w="108" w:type="dxa"/>
      <w:tblLayout w:type="fixed"/>
      <w:tblLook w:val="04A0" w:firstRow="1" w:lastRow="0" w:firstColumn="1" w:lastColumn="0" w:noHBand="0" w:noVBand="1"/>
    </w:tblPr>
    <w:tblGrid>
      <w:gridCol w:w="5954"/>
      <w:gridCol w:w="1417"/>
      <w:gridCol w:w="1701"/>
    </w:tblGrid>
    <w:tr w:rsidR="005B3436" w:rsidRPr="00E65CEF" w14:paraId="1428144F" w14:textId="77777777" w:rsidTr="00F865AB">
      <w:tc>
        <w:tcPr>
          <w:tcW w:w="5954" w:type="dxa"/>
          <w:tcBorders>
            <w:top w:val="nil"/>
            <w:left w:val="nil"/>
            <w:bottom w:val="nil"/>
            <w:right w:val="single" w:sz="4" w:space="0" w:color="auto"/>
          </w:tcBorders>
        </w:tcPr>
        <w:p w14:paraId="7377C7C7" w14:textId="77777777" w:rsidR="005B3436" w:rsidRPr="00E65CEF" w:rsidRDefault="005B3436">
          <w:pPr>
            <w:pStyle w:val="Header"/>
            <w:rPr>
              <w:rFonts w:ascii="Arial" w:hAnsi="Arial" w:cs="Arial"/>
            </w:rPr>
          </w:pPr>
          <w:r w:rsidRPr="009C554A">
            <w:rPr>
              <w:rFonts w:ascii="Arial" w:hAnsi="Arial" w:cs="Arial"/>
              <w:b/>
            </w:rPr>
            <w:t>Lindfield Parish Council</w:t>
          </w:r>
        </w:p>
      </w:tc>
      <w:tc>
        <w:tcPr>
          <w:tcW w:w="1417" w:type="dxa"/>
          <w:tcBorders>
            <w:left w:val="single" w:sz="4" w:space="0" w:color="auto"/>
          </w:tcBorders>
        </w:tcPr>
        <w:p w14:paraId="55380E6F" w14:textId="77777777" w:rsidR="005B3436" w:rsidRPr="00E65CEF" w:rsidRDefault="005B3436">
          <w:pPr>
            <w:pStyle w:val="Header"/>
            <w:rPr>
              <w:rFonts w:ascii="Arial" w:hAnsi="Arial" w:cs="Arial"/>
            </w:rPr>
          </w:pPr>
          <w:r w:rsidRPr="00E65CEF">
            <w:rPr>
              <w:rFonts w:ascii="Arial" w:hAnsi="Arial" w:cs="Arial"/>
            </w:rPr>
            <w:t>Committee</w:t>
          </w:r>
          <w:r w:rsidRPr="00E65CEF">
            <w:rPr>
              <w:rFonts w:ascii="Arial" w:hAnsi="Arial" w:cs="Arial"/>
            </w:rPr>
            <w:tab/>
          </w:r>
        </w:p>
      </w:tc>
      <w:tc>
        <w:tcPr>
          <w:tcW w:w="1701" w:type="dxa"/>
        </w:tcPr>
        <w:p w14:paraId="628E9CF3" w14:textId="77777777" w:rsidR="005B3436" w:rsidRPr="00E65CEF" w:rsidRDefault="005B3436">
          <w:pPr>
            <w:pStyle w:val="Header"/>
            <w:rPr>
              <w:rFonts w:ascii="Arial" w:hAnsi="Arial" w:cs="Arial"/>
            </w:rPr>
          </w:pPr>
          <w:r>
            <w:rPr>
              <w:rFonts w:ascii="Arial" w:hAnsi="Arial" w:cs="Arial"/>
            </w:rPr>
            <w:t>P&amp;TC</w:t>
          </w:r>
        </w:p>
      </w:tc>
    </w:tr>
    <w:tr w:rsidR="005B3436" w:rsidRPr="00E65CEF" w14:paraId="0AC1C07E" w14:textId="77777777" w:rsidTr="00F865AB">
      <w:tc>
        <w:tcPr>
          <w:tcW w:w="5954" w:type="dxa"/>
          <w:tcBorders>
            <w:top w:val="nil"/>
            <w:left w:val="nil"/>
            <w:bottom w:val="nil"/>
            <w:right w:val="single" w:sz="4" w:space="0" w:color="auto"/>
          </w:tcBorders>
        </w:tcPr>
        <w:p w14:paraId="609FE21B" w14:textId="77777777" w:rsidR="005B3436" w:rsidRPr="00E65CEF" w:rsidRDefault="005B3436">
          <w:pPr>
            <w:pStyle w:val="Header"/>
            <w:rPr>
              <w:rFonts w:ascii="Arial" w:hAnsi="Arial" w:cs="Arial"/>
            </w:rPr>
          </w:pPr>
        </w:p>
      </w:tc>
      <w:tc>
        <w:tcPr>
          <w:tcW w:w="1417" w:type="dxa"/>
          <w:tcBorders>
            <w:left w:val="single" w:sz="4" w:space="0" w:color="auto"/>
          </w:tcBorders>
        </w:tcPr>
        <w:p w14:paraId="70B2039E" w14:textId="77777777" w:rsidR="005B3436" w:rsidRPr="00E65CEF" w:rsidRDefault="005B3436">
          <w:pPr>
            <w:pStyle w:val="Header"/>
            <w:rPr>
              <w:rFonts w:ascii="Arial" w:hAnsi="Arial" w:cs="Arial"/>
            </w:rPr>
          </w:pPr>
          <w:r>
            <w:rPr>
              <w:rFonts w:ascii="Arial" w:hAnsi="Arial" w:cs="Arial"/>
            </w:rPr>
            <w:t>Date</w:t>
          </w:r>
        </w:p>
      </w:tc>
      <w:tc>
        <w:tcPr>
          <w:tcW w:w="1701" w:type="dxa"/>
        </w:tcPr>
        <w:p w14:paraId="7841AE1F" w14:textId="77777777" w:rsidR="005B3436" w:rsidRPr="00E65CEF" w:rsidRDefault="005B3436">
          <w:pPr>
            <w:pStyle w:val="Header"/>
            <w:rPr>
              <w:rFonts w:ascii="Arial" w:hAnsi="Arial" w:cs="Arial"/>
            </w:rPr>
          </w:pPr>
          <w:r>
            <w:rPr>
              <w:rFonts w:ascii="Arial" w:hAnsi="Arial" w:cs="Arial"/>
            </w:rPr>
            <w:t>25/8/20</w:t>
          </w:r>
        </w:p>
      </w:tc>
    </w:tr>
    <w:tr w:rsidR="005B3436" w:rsidRPr="00E65CEF" w14:paraId="6B62CF36" w14:textId="77777777" w:rsidTr="00F865AB">
      <w:tc>
        <w:tcPr>
          <w:tcW w:w="5954" w:type="dxa"/>
          <w:tcBorders>
            <w:top w:val="nil"/>
            <w:left w:val="nil"/>
            <w:bottom w:val="nil"/>
            <w:right w:val="single" w:sz="4" w:space="0" w:color="auto"/>
          </w:tcBorders>
        </w:tcPr>
        <w:p w14:paraId="46026489" w14:textId="71E20954" w:rsidR="005B3436" w:rsidRPr="00944923" w:rsidRDefault="005B3436" w:rsidP="00944923">
          <w:pPr>
            <w:pStyle w:val="Header"/>
            <w:jc w:val="center"/>
            <w:rPr>
              <w:rFonts w:ascii="Arial" w:hAnsi="Arial" w:cs="Arial"/>
              <w:b/>
              <w:bCs/>
              <w:sz w:val="24"/>
              <w:szCs w:val="24"/>
            </w:rPr>
          </w:pPr>
          <w:r w:rsidRPr="00944923">
            <w:rPr>
              <w:rFonts w:ascii="Arial" w:hAnsi="Arial" w:cs="Arial"/>
              <w:b/>
              <w:bCs/>
              <w:sz w:val="24"/>
              <w:szCs w:val="24"/>
            </w:rPr>
            <w:t>Appendix One</w:t>
          </w:r>
          <w:r w:rsidR="007912F0">
            <w:rPr>
              <w:rFonts w:ascii="Arial" w:hAnsi="Arial" w:cs="Arial"/>
              <w:b/>
              <w:bCs/>
              <w:sz w:val="24"/>
              <w:szCs w:val="24"/>
            </w:rPr>
            <w:t xml:space="preserve"> – WSCC </w:t>
          </w:r>
          <w:r w:rsidR="00B02F3D">
            <w:rPr>
              <w:rFonts w:ascii="Arial" w:hAnsi="Arial" w:cs="Arial"/>
              <w:b/>
              <w:bCs/>
              <w:sz w:val="24"/>
              <w:szCs w:val="24"/>
            </w:rPr>
            <w:t>recommended approach</w:t>
          </w:r>
        </w:p>
      </w:tc>
      <w:tc>
        <w:tcPr>
          <w:tcW w:w="1417" w:type="dxa"/>
          <w:tcBorders>
            <w:left w:val="single" w:sz="4" w:space="0" w:color="auto"/>
          </w:tcBorders>
        </w:tcPr>
        <w:p w14:paraId="64D7AF8A" w14:textId="77777777" w:rsidR="005B3436" w:rsidRPr="00E65CEF" w:rsidRDefault="005B3436">
          <w:pPr>
            <w:pStyle w:val="Header"/>
            <w:rPr>
              <w:rFonts w:ascii="Arial" w:hAnsi="Arial" w:cs="Arial"/>
            </w:rPr>
          </w:pPr>
          <w:r w:rsidRPr="00E65CEF">
            <w:rPr>
              <w:rFonts w:ascii="Arial" w:hAnsi="Arial" w:cs="Arial"/>
            </w:rPr>
            <w:t>Item</w:t>
          </w:r>
        </w:p>
      </w:tc>
      <w:tc>
        <w:tcPr>
          <w:tcW w:w="1701" w:type="dxa"/>
        </w:tcPr>
        <w:p w14:paraId="41761DD2" w14:textId="77777777" w:rsidR="005B3436" w:rsidRPr="00E65CEF" w:rsidRDefault="005B3436" w:rsidP="00947248">
          <w:pPr>
            <w:pStyle w:val="Header"/>
            <w:tabs>
              <w:tab w:val="clear" w:pos="4513"/>
              <w:tab w:val="clear" w:pos="9026"/>
              <w:tab w:val="left" w:pos="477"/>
            </w:tabs>
            <w:rPr>
              <w:rFonts w:ascii="Arial" w:hAnsi="Arial" w:cs="Arial"/>
            </w:rPr>
          </w:pPr>
          <w:r>
            <w:rPr>
              <w:rFonts w:ascii="Arial" w:hAnsi="Arial" w:cs="Arial"/>
            </w:rPr>
            <w:t>6</w:t>
          </w:r>
        </w:p>
      </w:tc>
    </w:tr>
  </w:tbl>
  <w:p w14:paraId="48B44739" w14:textId="77777777" w:rsidR="005B3436" w:rsidRDefault="005B3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EF50A" w14:textId="77777777" w:rsidR="00262335" w:rsidRDefault="00262335" w:rsidP="00041FA0">
    <w:pPr>
      <w:pStyle w:val="Footer"/>
      <w:rPr>
        <w:rFonts w:ascii="Arial" w:hAnsi="Arial" w:cs="Arial"/>
        <w:b/>
      </w:rPr>
    </w:pPr>
  </w:p>
  <w:tbl>
    <w:tblPr>
      <w:tblStyle w:val="TableGrid"/>
      <w:tblW w:w="14117" w:type="dxa"/>
      <w:tblInd w:w="108" w:type="dxa"/>
      <w:tblLayout w:type="fixed"/>
      <w:tblLook w:val="04A0" w:firstRow="1" w:lastRow="0" w:firstColumn="1" w:lastColumn="0" w:noHBand="0" w:noVBand="1"/>
    </w:tblPr>
    <w:tblGrid>
      <w:gridCol w:w="9265"/>
      <w:gridCol w:w="2205"/>
      <w:gridCol w:w="2647"/>
    </w:tblGrid>
    <w:tr w:rsidR="00262335" w:rsidRPr="00E65CEF" w14:paraId="55670231" w14:textId="77777777" w:rsidTr="009C16F0">
      <w:trPr>
        <w:trHeight w:val="258"/>
      </w:trPr>
      <w:tc>
        <w:tcPr>
          <w:tcW w:w="9265" w:type="dxa"/>
          <w:tcBorders>
            <w:top w:val="nil"/>
            <w:left w:val="nil"/>
            <w:bottom w:val="nil"/>
            <w:right w:val="single" w:sz="4" w:space="0" w:color="auto"/>
          </w:tcBorders>
        </w:tcPr>
        <w:p w14:paraId="5DFB3AC7" w14:textId="77777777" w:rsidR="00262335" w:rsidRPr="00E65CEF" w:rsidRDefault="00262335">
          <w:pPr>
            <w:pStyle w:val="Header"/>
            <w:rPr>
              <w:rFonts w:ascii="Arial" w:hAnsi="Arial" w:cs="Arial"/>
            </w:rPr>
          </w:pPr>
          <w:r w:rsidRPr="009C554A">
            <w:rPr>
              <w:rFonts w:ascii="Arial" w:hAnsi="Arial" w:cs="Arial"/>
              <w:b/>
            </w:rPr>
            <w:t>Lindfield Parish Council</w:t>
          </w:r>
        </w:p>
      </w:tc>
      <w:tc>
        <w:tcPr>
          <w:tcW w:w="2205" w:type="dxa"/>
          <w:tcBorders>
            <w:left w:val="single" w:sz="4" w:space="0" w:color="auto"/>
          </w:tcBorders>
        </w:tcPr>
        <w:p w14:paraId="0A0ABC56" w14:textId="77777777" w:rsidR="00262335" w:rsidRPr="00E65CEF" w:rsidRDefault="00262335">
          <w:pPr>
            <w:pStyle w:val="Header"/>
            <w:rPr>
              <w:rFonts w:ascii="Arial" w:hAnsi="Arial" w:cs="Arial"/>
            </w:rPr>
          </w:pPr>
          <w:r w:rsidRPr="00E65CEF">
            <w:rPr>
              <w:rFonts w:ascii="Arial" w:hAnsi="Arial" w:cs="Arial"/>
            </w:rPr>
            <w:t>Committee</w:t>
          </w:r>
          <w:r w:rsidRPr="00E65CEF">
            <w:rPr>
              <w:rFonts w:ascii="Arial" w:hAnsi="Arial" w:cs="Arial"/>
            </w:rPr>
            <w:tab/>
          </w:r>
        </w:p>
      </w:tc>
      <w:tc>
        <w:tcPr>
          <w:tcW w:w="2647" w:type="dxa"/>
        </w:tcPr>
        <w:p w14:paraId="58E7F320" w14:textId="282E25AA" w:rsidR="00262335" w:rsidRPr="00E65CEF" w:rsidRDefault="002539CF">
          <w:pPr>
            <w:pStyle w:val="Header"/>
            <w:rPr>
              <w:rFonts w:ascii="Arial" w:hAnsi="Arial" w:cs="Arial"/>
            </w:rPr>
          </w:pPr>
          <w:r>
            <w:rPr>
              <w:rFonts w:ascii="Arial" w:hAnsi="Arial" w:cs="Arial"/>
            </w:rPr>
            <w:t>P&amp;TC</w:t>
          </w:r>
        </w:p>
      </w:tc>
    </w:tr>
    <w:tr w:rsidR="00262335" w:rsidRPr="00E65CEF" w14:paraId="371615BB" w14:textId="77777777" w:rsidTr="009C16F0">
      <w:trPr>
        <w:trHeight w:val="258"/>
      </w:trPr>
      <w:tc>
        <w:tcPr>
          <w:tcW w:w="9265" w:type="dxa"/>
          <w:tcBorders>
            <w:top w:val="nil"/>
            <w:left w:val="nil"/>
            <w:bottom w:val="nil"/>
            <w:right w:val="single" w:sz="4" w:space="0" w:color="auto"/>
          </w:tcBorders>
        </w:tcPr>
        <w:p w14:paraId="6BCBFD65" w14:textId="77777777" w:rsidR="00262335" w:rsidRPr="00E65CEF" w:rsidRDefault="00262335">
          <w:pPr>
            <w:pStyle w:val="Header"/>
            <w:rPr>
              <w:rFonts w:ascii="Arial" w:hAnsi="Arial" w:cs="Arial"/>
            </w:rPr>
          </w:pPr>
        </w:p>
      </w:tc>
      <w:tc>
        <w:tcPr>
          <w:tcW w:w="2205" w:type="dxa"/>
          <w:tcBorders>
            <w:left w:val="single" w:sz="4" w:space="0" w:color="auto"/>
          </w:tcBorders>
        </w:tcPr>
        <w:p w14:paraId="0BC5059A" w14:textId="77777777" w:rsidR="00262335" w:rsidRPr="00E65CEF" w:rsidRDefault="00262335">
          <w:pPr>
            <w:pStyle w:val="Header"/>
            <w:rPr>
              <w:rFonts w:ascii="Arial" w:hAnsi="Arial" w:cs="Arial"/>
            </w:rPr>
          </w:pPr>
          <w:r>
            <w:rPr>
              <w:rFonts w:ascii="Arial" w:hAnsi="Arial" w:cs="Arial"/>
            </w:rPr>
            <w:t>Date</w:t>
          </w:r>
        </w:p>
      </w:tc>
      <w:tc>
        <w:tcPr>
          <w:tcW w:w="2647" w:type="dxa"/>
        </w:tcPr>
        <w:p w14:paraId="2074ACCE" w14:textId="26827EC3" w:rsidR="00262335" w:rsidRPr="00E65CEF" w:rsidRDefault="002539CF">
          <w:pPr>
            <w:pStyle w:val="Header"/>
            <w:rPr>
              <w:rFonts w:ascii="Arial" w:hAnsi="Arial" w:cs="Arial"/>
            </w:rPr>
          </w:pPr>
          <w:r>
            <w:rPr>
              <w:rFonts w:ascii="Arial" w:hAnsi="Arial" w:cs="Arial"/>
            </w:rPr>
            <w:t>25/8/20</w:t>
          </w:r>
        </w:p>
      </w:tc>
    </w:tr>
    <w:tr w:rsidR="00262335" w:rsidRPr="00E65CEF" w14:paraId="7B4B778A" w14:textId="77777777" w:rsidTr="009C16F0">
      <w:trPr>
        <w:trHeight w:val="258"/>
      </w:trPr>
      <w:tc>
        <w:tcPr>
          <w:tcW w:w="9265" w:type="dxa"/>
          <w:tcBorders>
            <w:top w:val="nil"/>
            <w:left w:val="nil"/>
            <w:bottom w:val="nil"/>
            <w:right w:val="single" w:sz="4" w:space="0" w:color="auto"/>
          </w:tcBorders>
        </w:tcPr>
        <w:p w14:paraId="654C77EE" w14:textId="4C088D1C" w:rsidR="00262335" w:rsidRPr="009C16F0" w:rsidRDefault="00575F7A" w:rsidP="009C16F0">
          <w:pPr>
            <w:pStyle w:val="Header"/>
            <w:jc w:val="center"/>
            <w:rPr>
              <w:rFonts w:ascii="Arial" w:hAnsi="Arial" w:cs="Arial"/>
              <w:b/>
              <w:bCs/>
              <w:sz w:val="28"/>
              <w:szCs w:val="28"/>
            </w:rPr>
          </w:pPr>
          <w:r w:rsidRPr="009C16F0">
            <w:rPr>
              <w:rFonts w:ascii="Arial" w:hAnsi="Arial" w:cs="Arial"/>
              <w:b/>
              <w:bCs/>
              <w:sz w:val="28"/>
              <w:szCs w:val="28"/>
            </w:rPr>
            <w:t xml:space="preserve">Appendix </w:t>
          </w:r>
          <w:r w:rsidR="00567526">
            <w:rPr>
              <w:rFonts w:ascii="Arial" w:hAnsi="Arial" w:cs="Arial"/>
              <w:b/>
              <w:bCs/>
              <w:sz w:val="28"/>
              <w:szCs w:val="28"/>
            </w:rPr>
            <w:t>Two – Potential Funding</w:t>
          </w:r>
        </w:p>
      </w:tc>
      <w:tc>
        <w:tcPr>
          <w:tcW w:w="2205" w:type="dxa"/>
          <w:tcBorders>
            <w:left w:val="single" w:sz="4" w:space="0" w:color="auto"/>
          </w:tcBorders>
        </w:tcPr>
        <w:p w14:paraId="41A1CCDD" w14:textId="77777777" w:rsidR="00262335" w:rsidRPr="00E65CEF" w:rsidRDefault="00262335">
          <w:pPr>
            <w:pStyle w:val="Header"/>
            <w:rPr>
              <w:rFonts w:ascii="Arial" w:hAnsi="Arial" w:cs="Arial"/>
            </w:rPr>
          </w:pPr>
          <w:r w:rsidRPr="00E65CEF">
            <w:rPr>
              <w:rFonts w:ascii="Arial" w:hAnsi="Arial" w:cs="Arial"/>
            </w:rPr>
            <w:t>Item</w:t>
          </w:r>
        </w:p>
      </w:tc>
      <w:tc>
        <w:tcPr>
          <w:tcW w:w="2647" w:type="dxa"/>
        </w:tcPr>
        <w:p w14:paraId="773D073C" w14:textId="4D993CC1" w:rsidR="00262335" w:rsidRPr="00E65CEF" w:rsidRDefault="002539CF" w:rsidP="00947248">
          <w:pPr>
            <w:pStyle w:val="Header"/>
            <w:tabs>
              <w:tab w:val="clear" w:pos="4513"/>
              <w:tab w:val="clear" w:pos="9026"/>
              <w:tab w:val="left" w:pos="477"/>
            </w:tabs>
            <w:rPr>
              <w:rFonts w:ascii="Arial" w:hAnsi="Arial" w:cs="Arial"/>
            </w:rPr>
          </w:pPr>
          <w:r>
            <w:rPr>
              <w:rFonts w:ascii="Arial" w:hAnsi="Arial" w:cs="Arial"/>
            </w:rPr>
            <w:t>6</w:t>
          </w:r>
        </w:p>
      </w:tc>
    </w:tr>
  </w:tbl>
  <w:p w14:paraId="1935D4F5" w14:textId="77777777" w:rsidR="00262335" w:rsidRDefault="00262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E7023"/>
    <w:multiLevelType w:val="hybridMultilevel"/>
    <w:tmpl w:val="8B4A42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0F2900"/>
    <w:multiLevelType w:val="hybridMultilevel"/>
    <w:tmpl w:val="2FA65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D0662B"/>
    <w:multiLevelType w:val="hybridMultilevel"/>
    <w:tmpl w:val="80FA854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4B075CB"/>
    <w:multiLevelType w:val="hybridMultilevel"/>
    <w:tmpl w:val="9B88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D167ED"/>
    <w:multiLevelType w:val="hybridMultilevel"/>
    <w:tmpl w:val="6DB2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73DA0"/>
    <w:multiLevelType w:val="hybridMultilevel"/>
    <w:tmpl w:val="3634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7D0BE7"/>
    <w:multiLevelType w:val="hybridMultilevel"/>
    <w:tmpl w:val="7A440B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AE338BD"/>
    <w:multiLevelType w:val="hybridMultilevel"/>
    <w:tmpl w:val="3C5014B8"/>
    <w:lvl w:ilvl="0" w:tplc="A0D451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70403F"/>
    <w:multiLevelType w:val="hybridMultilevel"/>
    <w:tmpl w:val="429A7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C122FA"/>
    <w:multiLevelType w:val="hybridMultilevel"/>
    <w:tmpl w:val="16504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C16C57"/>
    <w:multiLevelType w:val="hybridMultilevel"/>
    <w:tmpl w:val="14A6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6174B4"/>
    <w:multiLevelType w:val="hybridMultilevel"/>
    <w:tmpl w:val="D346C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B31EC6"/>
    <w:multiLevelType w:val="hybridMultilevel"/>
    <w:tmpl w:val="6F20A6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E521861"/>
    <w:multiLevelType w:val="hybridMultilevel"/>
    <w:tmpl w:val="FD928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D078FF"/>
    <w:multiLevelType w:val="hybridMultilevel"/>
    <w:tmpl w:val="5F96766E"/>
    <w:lvl w:ilvl="0" w:tplc="9788D02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6"/>
  </w:num>
  <w:num w:numId="5">
    <w:abstractNumId w:val="4"/>
  </w:num>
  <w:num w:numId="6">
    <w:abstractNumId w:val="10"/>
  </w:num>
  <w:num w:numId="7">
    <w:abstractNumId w:val="11"/>
  </w:num>
  <w:num w:numId="8">
    <w:abstractNumId w:val="8"/>
  </w:num>
  <w:num w:numId="9">
    <w:abstractNumId w:val="13"/>
  </w:num>
  <w:num w:numId="10">
    <w:abstractNumId w:val="0"/>
  </w:num>
  <w:num w:numId="11">
    <w:abstractNumId w:val="1"/>
  </w:num>
  <w:num w:numId="12">
    <w:abstractNumId w:val="2"/>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4A9"/>
    <w:rsid w:val="0000493E"/>
    <w:rsid w:val="00012806"/>
    <w:rsid w:val="00022125"/>
    <w:rsid w:val="000221A5"/>
    <w:rsid w:val="00033271"/>
    <w:rsid w:val="00036134"/>
    <w:rsid w:val="00041FA0"/>
    <w:rsid w:val="00062963"/>
    <w:rsid w:val="00064E4D"/>
    <w:rsid w:val="00067F28"/>
    <w:rsid w:val="000729D7"/>
    <w:rsid w:val="00073B77"/>
    <w:rsid w:val="0008523E"/>
    <w:rsid w:val="0009353F"/>
    <w:rsid w:val="000B29B8"/>
    <w:rsid w:val="000B367E"/>
    <w:rsid w:val="000C5229"/>
    <w:rsid w:val="000C536D"/>
    <w:rsid w:val="000D64A9"/>
    <w:rsid w:val="000E00FC"/>
    <w:rsid w:val="000E2A8C"/>
    <w:rsid w:val="000E7F24"/>
    <w:rsid w:val="000F221E"/>
    <w:rsid w:val="000F56A8"/>
    <w:rsid w:val="000F661D"/>
    <w:rsid w:val="0010036A"/>
    <w:rsid w:val="00121E69"/>
    <w:rsid w:val="00123530"/>
    <w:rsid w:val="0014015B"/>
    <w:rsid w:val="001424B3"/>
    <w:rsid w:val="001539CC"/>
    <w:rsid w:val="00154B59"/>
    <w:rsid w:val="00156E3E"/>
    <w:rsid w:val="001607EA"/>
    <w:rsid w:val="001676E8"/>
    <w:rsid w:val="00176942"/>
    <w:rsid w:val="00183A83"/>
    <w:rsid w:val="00186014"/>
    <w:rsid w:val="00193043"/>
    <w:rsid w:val="001A0EC1"/>
    <w:rsid w:val="001A42F9"/>
    <w:rsid w:val="001A5C74"/>
    <w:rsid w:val="001C4DDA"/>
    <w:rsid w:val="001E01A8"/>
    <w:rsid w:val="001E413C"/>
    <w:rsid w:val="001F7B75"/>
    <w:rsid w:val="00206F5A"/>
    <w:rsid w:val="0022248E"/>
    <w:rsid w:val="002225F2"/>
    <w:rsid w:val="00223852"/>
    <w:rsid w:val="00225A8F"/>
    <w:rsid w:val="0023097F"/>
    <w:rsid w:val="00237D7F"/>
    <w:rsid w:val="00243C89"/>
    <w:rsid w:val="00245011"/>
    <w:rsid w:val="002539CF"/>
    <w:rsid w:val="00255B78"/>
    <w:rsid w:val="00262335"/>
    <w:rsid w:val="002627FD"/>
    <w:rsid w:val="00265A1B"/>
    <w:rsid w:val="002668EC"/>
    <w:rsid w:val="00274C69"/>
    <w:rsid w:val="00274CA3"/>
    <w:rsid w:val="002834FF"/>
    <w:rsid w:val="00284658"/>
    <w:rsid w:val="00291747"/>
    <w:rsid w:val="002A3FD2"/>
    <w:rsid w:val="002A5870"/>
    <w:rsid w:val="002A5E8F"/>
    <w:rsid w:val="002C3374"/>
    <w:rsid w:val="002D15DB"/>
    <w:rsid w:val="002D49B3"/>
    <w:rsid w:val="002E08E9"/>
    <w:rsid w:val="002E4396"/>
    <w:rsid w:val="002F7AFB"/>
    <w:rsid w:val="00301395"/>
    <w:rsid w:val="003074A5"/>
    <w:rsid w:val="0031796E"/>
    <w:rsid w:val="00327C28"/>
    <w:rsid w:val="003348B3"/>
    <w:rsid w:val="00341F9C"/>
    <w:rsid w:val="0034306E"/>
    <w:rsid w:val="00351C46"/>
    <w:rsid w:val="00356FA1"/>
    <w:rsid w:val="00363BEE"/>
    <w:rsid w:val="003640C3"/>
    <w:rsid w:val="003707FD"/>
    <w:rsid w:val="00371F0C"/>
    <w:rsid w:val="00373A28"/>
    <w:rsid w:val="003745E7"/>
    <w:rsid w:val="003A4B6E"/>
    <w:rsid w:val="003A56B3"/>
    <w:rsid w:val="003B25BF"/>
    <w:rsid w:val="003B3DA5"/>
    <w:rsid w:val="003B76C2"/>
    <w:rsid w:val="003B7826"/>
    <w:rsid w:val="003E4671"/>
    <w:rsid w:val="003F35C0"/>
    <w:rsid w:val="003F787C"/>
    <w:rsid w:val="0040049A"/>
    <w:rsid w:val="004036F2"/>
    <w:rsid w:val="00410E11"/>
    <w:rsid w:val="00414E3E"/>
    <w:rsid w:val="00421A16"/>
    <w:rsid w:val="00423099"/>
    <w:rsid w:val="004233AE"/>
    <w:rsid w:val="004241DA"/>
    <w:rsid w:val="00426BB2"/>
    <w:rsid w:val="00426F8A"/>
    <w:rsid w:val="004324D4"/>
    <w:rsid w:val="00437DBF"/>
    <w:rsid w:val="00441224"/>
    <w:rsid w:val="00442C50"/>
    <w:rsid w:val="00445AE3"/>
    <w:rsid w:val="004512BA"/>
    <w:rsid w:val="0045162A"/>
    <w:rsid w:val="00451A6D"/>
    <w:rsid w:val="00452B4F"/>
    <w:rsid w:val="004756AB"/>
    <w:rsid w:val="00481612"/>
    <w:rsid w:val="00481D95"/>
    <w:rsid w:val="00487D2A"/>
    <w:rsid w:val="00491C84"/>
    <w:rsid w:val="004A1F36"/>
    <w:rsid w:val="004A6EC7"/>
    <w:rsid w:val="004B57D2"/>
    <w:rsid w:val="004C24D8"/>
    <w:rsid w:val="004E1F18"/>
    <w:rsid w:val="004F1350"/>
    <w:rsid w:val="004F34AB"/>
    <w:rsid w:val="004F3B9A"/>
    <w:rsid w:val="004F5F6E"/>
    <w:rsid w:val="0050065B"/>
    <w:rsid w:val="005009F9"/>
    <w:rsid w:val="005056EC"/>
    <w:rsid w:val="0051573C"/>
    <w:rsid w:val="0052013E"/>
    <w:rsid w:val="00521031"/>
    <w:rsid w:val="005369A7"/>
    <w:rsid w:val="00541F83"/>
    <w:rsid w:val="00563774"/>
    <w:rsid w:val="00567526"/>
    <w:rsid w:val="005679CB"/>
    <w:rsid w:val="00570CC6"/>
    <w:rsid w:val="005721FA"/>
    <w:rsid w:val="00575F7A"/>
    <w:rsid w:val="005806C1"/>
    <w:rsid w:val="00596ECC"/>
    <w:rsid w:val="005A07A8"/>
    <w:rsid w:val="005A0CBD"/>
    <w:rsid w:val="005A38C8"/>
    <w:rsid w:val="005A3A43"/>
    <w:rsid w:val="005A3DF1"/>
    <w:rsid w:val="005A5CA2"/>
    <w:rsid w:val="005B3436"/>
    <w:rsid w:val="005C203A"/>
    <w:rsid w:val="005C40E0"/>
    <w:rsid w:val="005C4945"/>
    <w:rsid w:val="005C5F15"/>
    <w:rsid w:val="005E085B"/>
    <w:rsid w:val="005E386B"/>
    <w:rsid w:val="005E6F05"/>
    <w:rsid w:val="005F11B1"/>
    <w:rsid w:val="005F4365"/>
    <w:rsid w:val="00600600"/>
    <w:rsid w:val="00600E56"/>
    <w:rsid w:val="00604BE7"/>
    <w:rsid w:val="00607E7D"/>
    <w:rsid w:val="00625176"/>
    <w:rsid w:val="006324B0"/>
    <w:rsid w:val="00644AD3"/>
    <w:rsid w:val="00656DD3"/>
    <w:rsid w:val="00657A54"/>
    <w:rsid w:val="00662E4D"/>
    <w:rsid w:val="0066306D"/>
    <w:rsid w:val="006656E1"/>
    <w:rsid w:val="006726C4"/>
    <w:rsid w:val="00681583"/>
    <w:rsid w:val="00682E37"/>
    <w:rsid w:val="0069390D"/>
    <w:rsid w:val="00694DCC"/>
    <w:rsid w:val="006976D5"/>
    <w:rsid w:val="006A0592"/>
    <w:rsid w:val="006B1EEC"/>
    <w:rsid w:val="006B477A"/>
    <w:rsid w:val="006C395F"/>
    <w:rsid w:val="006C7D88"/>
    <w:rsid w:val="006D12CB"/>
    <w:rsid w:val="006E0FEA"/>
    <w:rsid w:val="006E7CE6"/>
    <w:rsid w:val="006F5230"/>
    <w:rsid w:val="00705D78"/>
    <w:rsid w:val="0071240A"/>
    <w:rsid w:val="00712F1E"/>
    <w:rsid w:val="00716496"/>
    <w:rsid w:val="00717A85"/>
    <w:rsid w:val="00720927"/>
    <w:rsid w:val="0072641F"/>
    <w:rsid w:val="00732B3B"/>
    <w:rsid w:val="00736923"/>
    <w:rsid w:val="007425CD"/>
    <w:rsid w:val="00743726"/>
    <w:rsid w:val="0075349E"/>
    <w:rsid w:val="00772F37"/>
    <w:rsid w:val="007835CD"/>
    <w:rsid w:val="007912F0"/>
    <w:rsid w:val="00795CDD"/>
    <w:rsid w:val="007A1B20"/>
    <w:rsid w:val="007B2BF5"/>
    <w:rsid w:val="007B31C5"/>
    <w:rsid w:val="007B38BE"/>
    <w:rsid w:val="007B6067"/>
    <w:rsid w:val="007C1ECA"/>
    <w:rsid w:val="007C363A"/>
    <w:rsid w:val="007C6A2E"/>
    <w:rsid w:val="007C7F69"/>
    <w:rsid w:val="007D2C51"/>
    <w:rsid w:val="007D48B9"/>
    <w:rsid w:val="007D50AF"/>
    <w:rsid w:val="00800FCA"/>
    <w:rsid w:val="00805A41"/>
    <w:rsid w:val="0082045E"/>
    <w:rsid w:val="00827E9A"/>
    <w:rsid w:val="008425EA"/>
    <w:rsid w:val="00845BBD"/>
    <w:rsid w:val="00846ADC"/>
    <w:rsid w:val="00847C5D"/>
    <w:rsid w:val="00851503"/>
    <w:rsid w:val="0085552A"/>
    <w:rsid w:val="0086056E"/>
    <w:rsid w:val="00871901"/>
    <w:rsid w:val="00887AAF"/>
    <w:rsid w:val="008914BD"/>
    <w:rsid w:val="008966E5"/>
    <w:rsid w:val="0089756C"/>
    <w:rsid w:val="008A12A5"/>
    <w:rsid w:val="008B4524"/>
    <w:rsid w:val="008D4DBF"/>
    <w:rsid w:val="008E2381"/>
    <w:rsid w:val="008E656D"/>
    <w:rsid w:val="008F6908"/>
    <w:rsid w:val="009061D9"/>
    <w:rsid w:val="009143EF"/>
    <w:rsid w:val="0091721B"/>
    <w:rsid w:val="00917BF8"/>
    <w:rsid w:val="00920BC7"/>
    <w:rsid w:val="0092273C"/>
    <w:rsid w:val="00922890"/>
    <w:rsid w:val="00924F48"/>
    <w:rsid w:val="00930459"/>
    <w:rsid w:val="00930D67"/>
    <w:rsid w:val="00935E29"/>
    <w:rsid w:val="00937BB4"/>
    <w:rsid w:val="009428EE"/>
    <w:rsid w:val="00943C7C"/>
    <w:rsid w:val="009443D8"/>
    <w:rsid w:val="00944923"/>
    <w:rsid w:val="00947248"/>
    <w:rsid w:val="00955EF6"/>
    <w:rsid w:val="009624BA"/>
    <w:rsid w:val="0096443B"/>
    <w:rsid w:val="00965494"/>
    <w:rsid w:val="00965AFB"/>
    <w:rsid w:val="00970812"/>
    <w:rsid w:val="00976650"/>
    <w:rsid w:val="00980B04"/>
    <w:rsid w:val="00983F16"/>
    <w:rsid w:val="0099218E"/>
    <w:rsid w:val="00994B0F"/>
    <w:rsid w:val="00996DEA"/>
    <w:rsid w:val="009A3F0B"/>
    <w:rsid w:val="009A7ED5"/>
    <w:rsid w:val="009B464B"/>
    <w:rsid w:val="009B4B78"/>
    <w:rsid w:val="009C16F0"/>
    <w:rsid w:val="009C554A"/>
    <w:rsid w:val="009C7EFC"/>
    <w:rsid w:val="009F3BF5"/>
    <w:rsid w:val="009F463D"/>
    <w:rsid w:val="00A0070F"/>
    <w:rsid w:val="00A0103F"/>
    <w:rsid w:val="00A03996"/>
    <w:rsid w:val="00A11DAC"/>
    <w:rsid w:val="00A23904"/>
    <w:rsid w:val="00A25AA3"/>
    <w:rsid w:val="00A30DD3"/>
    <w:rsid w:val="00A33C13"/>
    <w:rsid w:val="00A33EF8"/>
    <w:rsid w:val="00A4199C"/>
    <w:rsid w:val="00A45BC1"/>
    <w:rsid w:val="00A54BA8"/>
    <w:rsid w:val="00A65E85"/>
    <w:rsid w:val="00A67C00"/>
    <w:rsid w:val="00A723D8"/>
    <w:rsid w:val="00A8483A"/>
    <w:rsid w:val="00A86E86"/>
    <w:rsid w:val="00A90801"/>
    <w:rsid w:val="00A95883"/>
    <w:rsid w:val="00A96BDE"/>
    <w:rsid w:val="00AA0F88"/>
    <w:rsid w:val="00AB3D72"/>
    <w:rsid w:val="00AC471D"/>
    <w:rsid w:val="00AC7926"/>
    <w:rsid w:val="00AE1D42"/>
    <w:rsid w:val="00AE4B61"/>
    <w:rsid w:val="00AE7E15"/>
    <w:rsid w:val="00AF4AC2"/>
    <w:rsid w:val="00AF7965"/>
    <w:rsid w:val="00B0046C"/>
    <w:rsid w:val="00B02F3D"/>
    <w:rsid w:val="00B04169"/>
    <w:rsid w:val="00B10153"/>
    <w:rsid w:val="00B106BC"/>
    <w:rsid w:val="00B10D31"/>
    <w:rsid w:val="00B23413"/>
    <w:rsid w:val="00B26853"/>
    <w:rsid w:val="00B310FF"/>
    <w:rsid w:val="00B44C06"/>
    <w:rsid w:val="00B558AA"/>
    <w:rsid w:val="00B64416"/>
    <w:rsid w:val="00B6508D"/>
    <w:rsid w:val="00B67274"/>
    <w:rsid w:val="00B801B2"/>
    <w:rsid w:val="00B81858"/>
    <w:rsid w:val="00B878A7"/>
    <w:rsid w:val="00B92625"/>
    <w:rsid w:val="00B92A19"/>
    <w:rsid w:val="00B93CDA"/>
    <w:rsid w:val="00B96F51"/>
    <w:rsid w:val="00BA4E4D"/>
    <w:rsid w:val="00BA521B"/>
    <w:rsid w:val="00BC371D"/>
    <w:rsid w:val="00BE41F5"/>
    <w:rsid w:val="00BE737D"/>
    <w:rsid w:val="00BF3F38"/>
    <w:rsid w:val="00BF49C7"/>
    <w:rsid w:val="00C05FBE"/>
    <w:rsid w:val="00C079EE"/>
    <w:rsid w:val="00C10565"/>
    <w:rsid w:val="00C107CD"/>
    <w:rsid w:val="00C34957"/>
    <w:rsid w:val="00C42CF4"/>
    <w:rsid w:val="00C4381E"/>
    <w:rsid w:val="00C534DD"/>
    <w:rsid w:val="00C53629"/>
    <w:rsid w:val="00C64E3F"/>
    <w:rsid w:val="00C72F1F"/>
    <w:rsid w:val="00C81A1E"/>
    <w:rsid w:val="00C83DA4"/>
    <w:rsid w:val="00C83F66"/>
    <w:rsid w:val="00CB2C56"/>
    <w:rsid w:val="00CD3BEE"/>
    <w:rsid w:val="00CD6F73"/>
    <w:rsid w:val="00CE1CEA"/>
    <w:rsid w:val="00CE5C9B"/>
    <w:rsid w:val="00D078B6"/>
    <w:rsid w:val="00D1477D"/>
    <w:rsid w:val="00D1639F"/>
    <w:rsid w:val="00D16855"/>
    <w:rsid w:val="00D31C7B"/>
    <w:rsid w:val="00D56BE4"/>
    <w:rsid w:val="00D62490"/>
    <w:rsid w:val="00D66488"/>
    <w:rsid w:val="00D7494A"/>
    <w:rsid w:val="00D75B92"/>
    <w:rsid w:val="00D77A68"/>
    <w:rsid w:val="00D80B81"/>
    <w:rsid w:val="00D83963"/>
    <w:rsid w:val="00D86F5E"/>
    <w:rsid w:val="00D91F4B"/>
    <w:rsid w:val="00DA548D"/>
    <w:rsid w:val="00DB03B1"/>
    <w:rsid w:val="00DB749E"/>
    <w:rsid w:val="00DB7AE8"/>
    <w:rsid w:val="00DD6E14"/>
    <w:rsid w:val="00DE0606"/>
    <w:rsid w:val="00DE13D1"/>
    <w:rsid w:val="00DE7015"/>
    <w:rsid w:val="00DE7051"/>
    <w:rsid w:val="00DF5F97"/>
    <w:rsid w:val="00E00FBD"/>
    <w:rsid w:val="00E03684"/>
    <w:rsid w:val="00E10078"/>
    <w:rsid w:val="00E23427"/>
    <w:rsid w:val="00E62A01"/>
    <w:rsid w:val="00E647BA"/>
    <w:rsid w:val="00E65C0E"/>
    <w:rsid w:val="00E65CEF"/>
    <w:rsid w:val="00E70DAD"/>
    <w:rsid w:val="00E714D4"/>
    <w:rsid w:val="00E75660"/>
    <w:rsid w:val="00E77338"/>
    <w:rsid w:val="00E77DF4"/>
    <w:rsid w:val="00E83266"/>
    <w:rsid w:val="00E84E99"/>
    <w:rsid w:val="00EA02F8"/>
    <w:rsid w:val="00EA17A9"/>
    <w:rsid w:val="00EA391E"/>
    <w:rsid w:val="00EC7A71"/>
    <w:rsid w:val="00ED1197"/>
    <w:rsid w:val="00ED4C86"/>
    <w:rsid w:val="00ED7D88"/>
    <w:rsid w:val="00EE3C3F"/>
    <w:rsid w:val="00F22814"/>
    <w:rsid w:val="00F2587A"/>
    <w:rsid w:val="00F26B3F"/>
    <w:rsid w:val="00F32399"/>
    <w:rsid w:val="00F37BFC"/>
    <w:rsid w:val="00F40A24"/>
    <w:rsid w:val="00F414B9"/>
    <w:rsid w:val="00F42AB0"/>
    <w:rsid w:val="00F45233"/>
    <w:rsid w:val="00F502AD"/>
    <w:rsid w:val="00F606A0"/>
    <w:rsid w:val="00F640F6"/>
    <w:rsid w:val="00F65C9D"/>
    <w:rsid w:val="00F65FBF"/>
    <w:rsid w:val="00F6609B"/>
    <w:rsid w:val="00F775CE"/>
    <w:rsid w:val="00F865AB"/>
    <w:rsid w:val="00F87D2A"/>
    <w:rsid w:val="00F87F6D"/>
    <w:rsid w:val="00F957F8"/>
    <w:rsid w:val="00FA2407"/>
    <w:rsid w:val="00FA466F"/>
    <w:rsid w:val="00FB3188"/>
    <w:rsid w:val="00FB72A1"/>
    <w:rsid w:val="00FC53C6"/>
    <w:rsid w:val="00FD5D69"/>
    <w:rsid w:val="00FE0B67"/>
    <w:rsid w:val="00FE11E3"/>
    <w:rsid w:val="00FE4D8C"/>
    <w:rsid w:val="00FE5151"/>
    <w:rsid w:val="00FE6E1B"/>
    <w:rsid w:val="00FF485E"/>
    <w:rsid w:val="00FF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F36AE"/>
  <w15:docId w15:val="{8703B26C-12A8-3B46-9D34-F0E939E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CC"/>
    <w:pPr>
      <w:tabs>
        <w:tab w:val="center" w:pos="4513"/>
        <w:tab w:val="right" w:pos="9026"/>
      </w:tabs>
    </w:pPr>
  </w:style>
  <w:style w:type="character" w:customStyle="1" w:styleId="HeaderChar">
    <w:name w:val="Header Char"/>
    <w:basedOn w:val="DefaultParagraphFont"/>
    <w:link w:val="Header"/>
    <w:uiPriority w:val="99"/>
    <w:rsid w:val="00596ECC"/>
  </w:style>
  <w:style w:type="paragraph" w:styleId="Footer">
    <w:name w:val="footer"/>
    <w:basedOn w:val="Normal"/>
    <w:link w:val="FooterChar"/>
    <w:uiPriority w:val="99"/>
    <w:unhideWhenUsed/>
    <w:rsid w:val="00596ECC"/>
    <w:pPr>
      <w:tabs>
        <w:tab w:val="center" w:pos="4513"/>
        <w:tab w:val="right" w:pos="9026"/>
      </w:tabs>
    </w:pPr>
  </w:style>
  <w:style w:type="character" w:customStyle="1" w:styleId="FooterChar">
    <w:name w:val="Footer Char"/>
    <w:basedOn w:val="DefaultParagraphFont"/>
    <w:link w:val="Footer"/>
    <w:uiPriority w:val="99"/>
    <w:rsid w:val="00596ECC"/>
  </w:style>
  <w:style w:type="table" w:styleId="TableGrid">
    <w:name w:val="Table Grid"/>
    <w:basedOn w:val="TableNormal"/>
    <w:uiPriority w:val="39"/>
    <w:rsid w:val="0059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DF4"/>
    <w:rPr>
      <w:color w:val="0000FF" w:themeColor="hyperlink"/>
      <w:u w:val="single"/>
    </w:rPr>
  </w:style>
  <w:style w:type="paragraph" w:styleId="ListParagraph">
    <w:name w:val="List Paragraph"/>
    <w:basedOn w:val="Normal"/>
    <w:uiPriority w:val="34"/>
    <w:qFormat/>
    <w:rsid w:val="007B2BF5"/>
    <w:pPr>
      <w:ind w:left="720"/>
      <w:contextualSpacing/>
    </w:pPr>
  </w:style>
  <w:style w:type="paragraph" w:styleId="BalloonText">
    <w:name w:val="Balloon Text"/>
    <w:basedOn w:val="Normal"/>
    <w:link w:val="BalloonTextChar"/>
    <w:uiPriority w:val="99"/>
    <w:semiHidden/>
    <w:unhideWhenUsed/>
    <w:rsid w:val="006324B0"/>
    <w:rPr>
      <w:rFonts w:ascii="Tahoma" w:hAnsi="Tahoma" w:cs="Tahoma"/>
      <w:sz w:val="16"/>
      <w:szCs w:val="16"/>
    </w:rPr>
  </w:style>
  <w:style w:type="character" w:customStyle="1" w:styleId="BalloonTextChar">
    <w:name w:val="Balloon Text Char"/>
    <w:basedOn w:val="DefaultParagraphFont"/>
    <w:link w:val="BalloonText"/>
    <w:uiPriority w:val="99"/>
    <w:semiHidden/>
    <w:rsid w:val="00632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0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s/Library/Group%20Containers/UBF8T346G9.Office/User%20Content.localized/Templates.localized/Agenda%20Ite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C9EBA2CB55194BA3D8B60DB5C8D0C1" ma:contentTypeVersion="10" ma:contentTypeDescription="Create a new document." ma:contentTypeScope="" ma:versionID="2b05c28ec6b54ed5a87179b692499806">
  <xsd:schema xmlns:xsd="http://www.w3.org/2001/XMLSchema" xmlns:xs="http://www.w3.org/2001/XMLSchema" xmlns:p="http://schemas.microsoft.com/office/2006/metadata/properties" xmlns:ns2="ce45da6b-80a4-4bbd-bf20-db3f65ce49f1" xmlns:ns3="7bc0e701-494d-45e5-b57f-ac5fcac1e32b" targetNamespace="http://schemas.microsoft.com/office/2006/metadata/properties" ma:root="true" ma:fieldsID="e8bd5a06357046c386aeb391b37043e0" ns2:_="" ns3:_="">
    <xsd:import namespace="ce45da6b-80a4-4bbd-bf20-db3f65ce49f1"/>
    <xsd:import namespace="7bc0e701-494d-45e5-b57f-ac5fcac1e3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5da6b-80a4-4bbd-bf20-db3f65ce4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0e701-494d-45e5-b57f-ac5fcac1e3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DFD30-7BFF-40AC-A6CD-91B5A2FAC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1467A-84DB-43A8-BF1E-0EF88397B25F}">
  <ds:schemaRefs>
    <ds:schemaRef ds:uri="http://schemas.microsoft.com/sharepoint/v3/contenttype/forms"/>
  </ds:schemaRefs>
</ds:datastoreItem>
</file>

<file path=customXml/itemProps3.xml><?xml version="1.0" encoding="utf-8"?>
<ds:datastoreItem xmlns:ds="http://schemas.openxmlformats.org/officeDocument/2006/customXml" ds:itemID="{4181645F-9BF0-490A-8057-FA047019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5da6b-80a4-4bbd-bf20-db3f65ce49f1"/>
    <ds:schemaRef ds:uri="7bc0e701-494d-45e5-b57f-ac5fcac1e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Item Template.dotx</Template>
  <TotalTime>1</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10496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Parsons</dc:creator>
  <cp:keywords/>
  <dc:description/>
  <cp:lastModifiedBy>David Parsons</cp:lastModifiedBy>
  <cp:revision>2</cp:revision>
  <cp:lastPrinted>2018-04-23T13:19:00Z</cp:lastPrinted>
  <dcterms:created xsi:type="dcterms:W3CDTF">2020-08-24T11:09:00Z</dcterms:created>
  <dcterms:modified xsi:type="dcterms:W3CDTF">2020-08-24T11:09:00Z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0x01010063C9EBA2CB55194BA3D8B60DB5C8D0C1</vt:lpwstr>
  </property>
</Properties>
</file>